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F57E09" w:rsidRDefault="00D5547E" w:rsidP="001C73BC">
      <w:pPr>
        <w:jc w:val="both"/>
        <w:rPr>
          <w:rFonts w:cs="Arial"/>
        </w:rPr>
      </w:pPr>
    </w:p>
    <w:tbl>
      <w:tblPr>
        <w:tblW w:w="0" w:type="auto"/>
        <w:tblInd w:w="108" w:type="dxa"/>
        <w:tblLayout w:type="fixed"/>
        <w:tblLook w:val="04A0" w:firstRow="1" w:lastRow="0" w:firstColumn="1" w:lastColumn="0" w:noHBand="0" w:noVBand="1"/>
      </w:tblPr>
      <w:tblGrid>
        <w:gridCol w:w="427"/>
        <w:gridCol w:w="2015"/>
        <w:gridCol w:w="142"/>
        <w:gridCol w:w="6275"/>
        <w:gridCol w:w="143"/>
      </w:tblGrid>
      <w:tr w:rsidR="00CE544A" w:rsidRPr="00F57E09" w:rsidTr="00F071E7">
        <w:trPr>
          <w:gridAfter w:val="1"/>
          <w:wAfter w:w="143" w:type="dxa"/>
          <w:trHeight w:val="389"/>
        </w:trPr>
        <w:tc>
          <w:tcPr>
            <w:tcW w:w="2442" w:type="dxa"/>
            <w:gridSpan w:val="2"/>
            <w:shd w:val="clear" w:color="auto" w:fill="auto"/>
          </w:tcPr>
          <w:p w:rsidR="00F445B1" w:rsidRPr="00F57E09" w:rsidRDefault="00F445B1" w:rsidP="001C73BC">
            <w:pPr>
              <w:jc w:val="both"/>
              <w:rPr>
                <w:rStyle w:val="Firstpagetablebold"/>
                <w:rFonts w:cs="Arial"/>
              </w:rPr>
            </w:pPr>
            <w:r w:rsidRPr="00F57E09">
              <w:rPr>
                <w:rStyle w:val="Firstpagetablebold"/>
                <w:rFonts w:cs="Arial"/>
              </w:rPr>
              <w:t>To</w:t>
            </w:r>
            <w:r w:rsidR="005C35A5" w:rsidRPr="00F57E09">
              <w:rPr>
                <w:rStyle w:val="Firstpagetablebold"/>
                <w:rFonts w:cs="Arial"/>
              </w:rPr>
              <w:t>:</w:t>
            </w:r>
          </w:p>
        </w:tc>
        <w:tc>
          <w:tcPr>
            <w:tcW w:w="6417" w:type="dxa"/>
            <w:gridSpan w:val="2"/>
            <w:shd w:val="clear" w:color="auto" w:fill="auto"/>
          </w:tcPr>
          <w:p w:rsidR="00F445B1" w:rsidRPr="00F57E09" w:rsidRDefault="0080315D" w:rsidP="001C73BC">
            <w:pPr>
              <w:jc w:val="both"/>
              <w:rPr>
                <w:rStyle w:val="Firstpagetablebold"/>
                <w:rFonts w:cs="Arial"/>
              </w:rPr>
            </w:pPr>
            <w:r>
              <w:rPr>
                <w:rStyle w:val="Firstpagetablebold"/>
                <w:rFonts w:cs="Arial"/>
              </w:rPr>
              <w:t xml:space="preserve">Cabinet </w:t>
            </w:r>
          </w:p>
        </w:tc>
      </w:tr>
      <w:tr w:rsidR="00CE544A" w:rsidRPr="00F57E09" w:rsidTr="00F071E7">
        <w:trPr>
          <w:gridAfter w:val="1"/>
          <w:wAfter w:w="143" w:type="dxa"/>
          <w:trHeight w:val="373"/>
        </w:trPr>
        <w:tc>
          <w:tcPr>
            <w:tcW w:w="2442" w:type="dxa"/>
            <w:gridSpan w:val="2"/>
            <w:shd w:val="clear" w:color="auto" w:fill="auto"/>
          </w:tcPr>
          <w:p w:rsidR="00F445B1" w:rsidRPr="00F57E09" w:rsidRDefault="00F445B1" w:rsidP="001C73BC">
            <w:pPr>
              <w:jc w:val="both"/>
              <w:rPr>
                <w:rStyle w:val="Firstpagetablebold"/>
                <w:rFonts w:cs="Arial"/>
              </w:rPr>
            </w:pPr>
            <w:r w:rsidRPr="00F57E09">
              <w:rPr>
                <w:rStyle w:val="Firstpagetablebold"/>
                <w:rFonts w:cs="Arial"/>
              </w:rPr>
              <w:t>Dat</w:t>
            </w:r>
            <w:r w:rsidR="005C35A5" w:rsidRPr="00F57E09">
              <w:rPr>
                <w:rStyle w:val="Firstpagetablebold"/>
                <w:rFonts w:cs="Arial"/>
              </w:rPr>
              <w:t>e:</w:t>
            </w:r>
          </w:p>
        </w:tc>
        <w:tc>
          <w:tcPr>
            <w:tcW w:w="6417" w:type="dxa"/>
            <w:gridSpan w:val="2"/>
            <w:shd w:val="clear" w:color="auto" w:fill="auto"/>
          </w:tcPr>
          <w:p w:rsidR="00F445B1" w:rsidRPr="00F57E09" w:rsidRDefault="006E5B3F" w:rsidP="001C73BC">
            <w:pPr>
              <w:jc w:val="both"/>
              <w:rPr>
                <w:rFonts w:cs="Arial"/>
                <w:b/>
              </w:rPr>
            </w:pPr>
            <w:r>
              <w:rPr>
                <w:rFonts w:cs="Arial"/>
                <w:b/>
              </w:rPr>
              <w:t xml:space="preserve">29 </w:t>
            </w:r>
            <w:r w:rsidR="00F071E7">
              <w:rPr>
                <w:rFonts w:cs="Arial"/>
                <w:b/>
              </w:rPr>
              <w:t>May</w:t>
            </w:r>
            <w:r w:rsidR="00074280">
              <w:rPr>
                <w:rFonts w:cs="Arial"/>
                <w:b/>
              </w:rPr>
              <w:t xml:space="preserve"> 2019</w:t>
            </w:r>
          </w:p>
        </w:tc>
      </w:tr>
      <w:tr w:rsidR="00CE544A" w:rsidRPr="00F57E09" w:rsidTr="00F071E7">
        <w:trPr>
          <w:gridAfter w:val="1"/>
          <w:wAfter w:w="143" w:type="dxa"/>
          <w:trHeight w:val="389"/>
        </w:trPr>
        <w:tc>
          <w:tcPr>
            <w:tcW w:w="2442" w:type="dxa"/>
            <w:gridSpan w:val="2"/>
            <w:shd w:val="clear" w:color="auto" w:fill="auto"/>
          </w:tcPr>
          <w:p w:rsidR="00F445B1" w:rsidRPr="00F57E09" w:rsidRDefault="00F445B1" w:rsidP="001C73BC">
            <w:pPr>
              <w:jc w:val="both"/>
              <w:rPr>
                <w:rStyle w:val="Firstpagetablebold"/>
                <w:rFonts w:cs="Arial"/>
              </w:rPr>
            </w:pPr>
            <w:r w:rsidRPr="00F57E09">
              <w:rPr>
                <w:rStyle w:val="Firstpagetablebold"/>
                <w:rFonts w:cs="Arial"/>
              </w:rPr>
              <w:t>Report of</w:t>
            </w:r>
            <w:r w:rsidR="005C35A5" w:rsidRPr="00F57E09">
              <w:rPr>
                <w:rStyle w:val="Firstpagetablebold"/>
                <w:rFonts w:cs="Arial"/>
              </w:rPr>
              <w:t>:</w:t>
            </w:r>
          </w:p>
        </w:tc>
        <w:tc>
          <w:tcPr>
            <w:tcW w:w="6417" w:type="dxa"/>
            <w:gridSpan w:val="2"/>
            <w:shd w:val="clear" w:color="auto" w:fill="auto"/>
          </w:tcPr>
          <w:p w:rsidR="00F445B1" w:rsidRPr="00F57E09" w:rsidRDefault="00F445B1" w:rsidP="001C73BC">
            <w:pPr>
              <w:jc w:val="both"/>
              <w:rPr>
                <w:rStyle w:val="Firstpagetablebold"/>
                <w:rFonts w:cs="Arial"/>
              </w:rPr>
            </w:pPr>
            <w:r w:rsidRPr="00F57E09">
              <w:rPr>
                <w:rStyle w:val="Firstpagetablebold"/>
                <w:rFonts w:cs="Arial"/>
              </w:rPr>
              <w:t xml:space="preserve">Head of </w:t>
            </w:r>
            <w:r w:rsidR="00F57E09" w:rsidRPr="00F57E09">
              <w:rPr>
                <w:rStyle w:val="Firstpagetablebold"/>
                <w:rFonts w:cs="Arial"/>
              </w:rPr>
              <w:t xml:space="preserve">Community Services </w:t>
            </w:r>
          </w:p>
        </w:tc>
      </w:tr>
      <w:tr w:rsidR="00CE544A" w:rsidRPr="00F57E09" w:rsidTr="00F071E7">
        <w:trPr>
          <w:gridAfter w:val="1"/>
          <w:wAfter w:w="143" w:type="dxa"/>
          <w:trHeight w:val="1198"/>
        </w:trPr>
        <w:tc>
          <w:tcPr>
            <w:tcW w:w="2442" w:type="dxa"/>
            <w:gridSpan w:val="2"/>
            <w:shd w:val="clear" w:color="auto" w:fill="auto"/>
          </w:tcPr>
          <w:p w:rsidR="00F445B1" w:rsidRPr="00F57E09" w:rsidRDefault="00F445B1" w:rsidP="001C73BC">
            <w:pPr>
              <w:jc w:val="both"/>
              <w:rPr>
                <w:rStyle w:val="Firstpagetablebold"/>
                <w:rFonts w:cs="Arial"/>
              </w:rPr>
            </w:pPr>
            <w:r w:rsidRPr="00F57E09">
              <w:rPr>
                <w:rStyle w:val="Firstpagetablebold"/>
                <w:rFonts w:cs="Arial"/>
              </w:rPr>
              <w:t xml:space="preserve">Title of Report: </w:t>
            </w:r>
          </w:p>
        </w:tc>
        <w:tc>
          <w:tcPr>
            <w:tcW w:w="6417" w:type="dxa"/>
            <w:gridSpan w:val="2"/>
            <w:shd w:val="clear" w:color="auto" w:fill="auto"/>
          </w:tcPr>
          <w:p w:rsidR="00F445B1" w:rsidRPr="00F57E09" w:rsidRDefault="006E5B3F" w:rsidP="006E5B3F">
            <w:pPr>
              <w:jc w:val="both"/>
              <w:rPr>
                <w:rStyle w:val="Firstpagetablebold"/>
                <w:rFonts w:cs="Arial"/>
              </w:rPr>
            </w:pPr>
            <w:r>
              <w:rPr>
                <w:rStyle w:val="Firstpagetablebold"/>
                <w:rFonts w:cs="Arial"/>
              </w:rPr>
              <w:t xml:space="preserve">Community Lease Agreements </w:t>
            </w:r>
          </w:p>
        </w:tc>
      </w:tr>
      <w:tr w:rsidR="00D5547E" w:rsidRPr="00F57E09" w:rsidTr="00F071E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89"/>
        </w:trPr>
        <w:tc>
          <w:tcPr>
            <w:tcW w:w="9002" w:type="dxa"/>
            <w:gridSpan w:val="5"/>
            <w:tcBorders>
              <w:bottom w:val="single" w:sz="8" w:space="0" w:color="000000"/>
            </w:tcBorders>
            <w:hideMark/>
          </w:tcPr>
          <w:p w:rsidR="00D5547E" w:rsidRPr="00F57E09" w:rsidRDefault="00745BF0" w:rsidP="001C73BC">
            <w:pPr>
              <w:jc w:val="both"/>
              <w:rPr>
                <w:rStyle w:val="Firstpagetablebold"/>
                <w:rFonts w:cs="Arial"/>
              </w:rPr>
            </w:pPr>
            <w:r w:rsidRPr="00F57E09">
              <w:rPr>
                <w:rStyle w:val="Firstpagetablebold"/>
                <w:rFonts w:cs="Arial"/>
              </w:rPr>
              <w:t>Summary and r</w:t>
            </w:r>
            <w:r w:rsidR="00D5547E" w:rsidRPr="00F57E09">
              <w:rPr>
                <w:rStyle w:val="Firstpagetablebold"/>
                <w:rFonts w:cs="Arial"/>
              </w:rPr>
              <w:t>ecommendations</w:t>
            </w:r>
          </w:p>
        </w:tc>
      </w:tr>
      <w:tr w:rsidR="00D5547E" w:rsidRPr="00F57E09" w:rsidTr="00F071E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83"/>
        </w:trPr>
        <w:tc>
          <w:tcPr>
            <w:tcW w:w="2584" w:type="dxa"/>
            <w:gridSpan w:val="3"/>
            <w:tcBorders>
              <w:top w:val="single" w:sz="8" w:space="0" w:color="000000"/>
              <w:left w:val="single" w:sz="8" w:space="0" w:color="000000"/>
              <w:bottom w:val="nil"/>
              <w:right w:val="nil"/>
            </w:tcBorders>
            <w:hideMark/>
          </w:tcPr>
          <w:p w:rsidR="00D5547E" w:rsidRPr="00F57E09" w:rsidRDefault="00D5547E" w:rsidP="001C73BC">
            <w:pPr>
              <w:jc w:val="both"/>
              <w:rPr>
                <w:rStyle w:val="Firstpagetablebold"/>
                <w:rFonts w:cs="Arial"/>
              </w:rPr>
            </w:pPr>
            <w:r w:rsidRPr="00F57E09">
              <w:rPr>
                <w:rStyle w:val="Firstpagetablebold"/>
                <w:rFonts w:cs="Arial"/>
              </w:rPr>
              <w:t>Purpose of report:</w:t>
            </w:r>
          </w:p>
        </w:tc>
        <w:tc>
          <w:tcPr>
            <w:tcW w:w="6418" w:type="dxa"/>
            <w:gridSpan w:val="2"/>
            <w:tcBorders>
              <w:top w:val="single" w:sz="8" w:space="0" w:color="000000"/>
              <w:left w:val="nil"/>
              <w:bottom w:val="nil"/>
              <w:right w:val="single" w:sz="8" w:space="0" w:color="000000"/>
            </w:tcBorders>
            <w:hideMark/>
          </w:tcPr>
          <w:p w:rsidR="00D5547E" w:rsidRPr="00F57E09" w:rsidRDefault="00F57E09" w:rsidP="00677D5E">
            <w:pPr>
              <w:jc w:val="both"/>
              <w:rPr>
                <w:rFonts w:cs="Arial"/>
              </w:rPr>
            </w:pPr>
            <w:r w:rsidRPr="00F57E09">
              <w:rPr>
                <w:rFonts w:cs="Arial"/>
              </w:rPr>
              <w:t xml:space="preserve">To agree three community leases and delegate the authority to agree </w:t>
            </w:r>
            <w:r w:rsidR="005337FF">
              <w:rPr>
                <w:rFonts w:cs="Arial"/>
              </w:rPr>
              <w:t xml:space="preserve">further </w:t>
            </w:r>
            <w:r w:rsidR="009B5F5A">
              <w:rPr>
                <w:rFonts w:cs="Arial"/>
              </w:rPr>
              <w:t xml:space="preserve">community </w:t>
            </w:r>
            <w:r w:rsidR="00250D32">
              <w:rPr>
                <w:rFonts w:cs="Arial"/>
              </w:rPr>
              <w:t xml:space="preserve">leases </w:t>
            </w:r>
            <w:r w:rsidR="005337FF">
              <w:rPr>
                <w:rFonts w:cs="Arial"/>
              </w:rPr>
              <w:t>with a market value below £50,000 per annum</w:t>
            </w:r>
            <w:r w:rsidRPr="00F57E09">
              <w:rPr>
                <w:rFonts w:cs="Arial"/>
              </w:rPr>
              <w:t xml:space="preserve"> to </w:t>
            </w:r>
            <w:r w:rsidR="002A05B2">
              <w:rPr>
                <w:rFonts w:cs="Arial"/>
              </w:rPr>
              <w:t xml:space="preserve">the </w:t>
            </w:r>
            <w:r w:rsidR="00677D5E">
              <w:rPr>
                <w:rFonts w:cs="Arial"/>
              </w:rPr>
              <w:t>Regeneration and Major Projects Service Manager</w:t>
            </w:r>
            <w:r w:rsidR="00250D32">
              <w:rPr>
                <w:rFonts w:cs="Arial"/>
              </w:rPr>
              <w:t>.</w:t>
            </w:r>
          </w:p>
        </w:tc>
      </w:tr>
      <w:tr w:rsidR="00D5547E" w:rsidRPr="00F57E09" w:rsidTr="00F071E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89"/>
        </w:trPr>
        <w:tc>
          <w:tcPr>
            <w:tcW w:w="2584" w:type="dxa"/>
            <w:gridSpan w:val="3"/>
            <w:tcBorders>
              <w:top w:val="nil"/>
              <w:left w:val="single" w:sz="8" w:space="0" w:color="000000"/>
              <w:bottom w:val="nil"/>
              <w:right w:val="nil"/>
            </w:tcBorders>
            <w:hideMark/>
          </w:tcPr>
          <w:p w:rsidR="00D5547E" w:rsidRPr="00F57E09" w:rsidRDefault="00D5547E" w:rsidP="001C73BC">
            <w:pPr>
              <w:jc w:val="both"/>
              <w:rPr>
                <w:rStyle w:val="Firstpagetablebold"/>
                <w:rFonts w:cs="Arial"/>
              </w:rPr>
            </w:pPr>
            <w:r w:rsidRPr="00F57E09">
              <w:rPr>
                <w:rStyle w:val="Firstpagetablebold"/>
                <w:rFonts w:cs="Arial"/>
              </w:rPr>
              <w:t>Key decision:</w:t>
            </w:r>
          </w:p>
        </w:tc>
        <w:tc>
          <w:tcPr>
            <w:tcW w:w="6418" w:type="dxa"/>
            <w:gridSpan w:val="2"/>
            <w:tcBorders>
              <w:top w:val="nil"/>
              <w:left w:val="nil"/>
              <w:bottom w:val="nil"/>
              <w:right w:val="single" w:sz="8" w:space="0" w:color="000000"/>
            </w:tcBorders>
            <w:hideMark/>
          </w:tcPr>
          <w:p w:rsidR="00D5547E" w:rsidRPr="00F57E09" w:rsidRDefault="00D5547E" w:rsidP="001C73BC">
            <w:pPr>
              <w:jc w:val="both"/>
              <w:rPr>
                <w:rFonts w:cs="Arial"/>
              </w:rPr>
            </w:pPr>
            <w:r w:rsidRPr="00F57E09">
              <w:rPr>
                <w:rFonts w:cs="Arial"/>
              </w:rPr>
              <w:t xml:space="preserve">Yes </w:t>
            </w:r>
          </w:p>
        </w:tc>
      </w:tr>
      <w:tr w:rsidR="00D5547E" w:rsidRPr="00F57E09" w:rsidTr="00F071E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54"/>
        </w:trPr>
        <w:tc>
          <w:tcPr>
            <w:tcW w:w="2584" w:type="dxa"/>
            <w:gridSpan w:val="3"/>
            <w:tcBorders>
              <w:top w:val="nil"/>
              <w:left w:val="single" w:sz="8" w:space="0" w:color="000000"/>
              <w:bottom w:val="nil"/>
              <w:right w:val="nil"/>
            </w:tcBorders>
            <w:hideMark/>
          </w:tcPr>
          <w:p w:rsidR="00D5547E" w:rsidRPr="00F57E09" w:rsidRDefault="0080315D" w:rsidP="00680A5B">
            <w:pPr>
              <w:rPr>
                <w:rStyle w:val="Firstpagetablebold"/>
                <w:rFonts w:cs="Arial"/>
              </w:rPr>
            </w:pPr>
            <w:r>
              <w:rPr>
                <w:rStyle w:val="Firstpagetablebold"/>
                <w:rFonts w:cs="Arial"/>
              </w:rPr>
              <w:t xml:space="preserve">Cabinet </w:t>
            </w:r>
            <w:r w:rsidR="00D5547E" w:rsidRPr="00F57E09">
              <w:rPr>
                <w:rStyle w:val="Firstpagetablebold"/>
                <w:rFonts w:cs="Arial"/>
              </w:rPr>
              <w:t>Member:</w:t>
            </w:r>
          </w:p>
        </w:tc>
        <w:tc>
          <w:tcPr>
            <w:tcW w:w="6418" w:type="dxa"/>
            <w:gridSpan w:val="2"/>
            <w:tcBorders>
              <w:top w:val="nil"/>
              <w:left w:val="nil"/>
              <w:bottom w:val="nil"/>
              <w:right w:val="single" w:sz="8" w:space="0" w:color="000000"/>
            </w:tcBorders>
            <w:hideMark/>
          </w:tcPr>
          <w:p w:rsidR="00D5547E" w:rsidRPr="00F57E09" w:rsidRDefault="0080315D" w:rsidP="001C73BC">
            <w:pPr>
              <w:jc w:val="both"/>
              <w:rPr>
                <w:rFonts w:cs="Arial"/>
              </w:rPr>
            </w:pPr>
            <w:r>
              <w:rPr>
                <w:rFonts w:cs="Arial"/>
              </w:rPr>
              <w:t>Supporting Local Communities</w:t>
            </w:r>
          </w:p>
        </w:tc>
      </w:tr>
      <w:tr w:rsidR="0080749A" w:rsidRPr="00F57E09" w:rsidTr="00F071E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89"/>
        </w:trPr>
        <w:tc>
          <w:tcPr>
            <w:tcW w:w="2584" w:type="dxa"/>
            <w:gridSpan w:val="3"/>
            <w:tcBorders>
              <w:top w:val="nil"/>
              <w:left w:val="single" w:sz="8" w:space="0" w:color="000000"/>
              <w:bottom w:val="nil"/>
              <w:right w:val="nil"/>
            </w:tcBorders>
          </w:tcPr>
          <w:p w:rsidR="0080749A" w:rsidRPr="00F57E09" w:rsidRDefault="0080749A" w:rsidP="001C73BC">
            <w:pPr>
              <w:jc w:val="both"/>
              <w:rPr>
                <w:rStyle w:val="Firstpagetablebold"/>
                <w:rFonts w:cs="Arial"/>
              </w:rPr>
            </w:pPr>
            <w:r w:rsidRPr="00F57E09">
              <w:rPr>
                <w:rStyle w:val="Firstpagetablebold"/>
                <w:rFonts w:cs="Arial"/>
              </w:rPr>
              <w:t>Corporate Priority:</w:t>
            </w:r>
          </w:p>
        </w:tc>
        <w:tc>
          <w:tcPr>
            <w:tcW w:w="6418" w:type="dxa"/>
            <w:gridSpan w:val="2"/>
            <w:tcBorders>
              <w:top w:val="nil"/>
              <w:left w:val="nil"/>
              <w:bottom w:val="nil"/>
              <w:right w:val="single" w:sz="8" w:space="0" w:color="000000"/>
            </w:tcBorders>
          </w:tcPr>
          <w:p w:rsidR="0080749A" w:rsidRPr="00F57E09" w:rsidRDefault="00F57E09" w:rsidP="001C73BC">
            <w:pPr>
              <w:jc w:val="both"/>
              <w:rPr>
                <w:rFonts w:cs="Arial"/>
              </w:rPr>
            </w:pPr>
            <w:r w:rsidRPr="00F57E09">
              <w:rPr>
                <w:rFonts w:cs="Arial"/>
              </w:rPr>
              <w:t xml:space="preserve">Strong, Active Communities </w:t>
            </w:r>
          </w:p>
        </w:tc>
      </w:tr>
      <w:tr w:rsidR="00D5547E" w:rsidRPr="00F57E09" w:rsidTr="00F071E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89"/>
        </w:trPr>
        <w:tc>
          <w:tcPr>
            <w:tcW w:w="2584" w:type="dxa"/>
            <w:gridSpan w:val="3"/>
            <w:tcBorders>
              <w:top w:val="nil"/>
              <w:left w:val="single" w:sz="8" w:space="0" w:color="000000"/>
              <w:bottom w:val="nil"/>
              <w:right w:val="nil"/>
            </w:tcBorders>
            <w:hideMark/>
          </w:tcPr>
          <w:p w:rsidR="00D5547E" w:rsidRPr="00F57E09" w:rsidRDefault="00D5547E" w:rsidP="001C73BC">
            <w:pPr>
              <w:jc w:val="both"/>
              <w:rPr>
                <w:rStyle w:val="Firstpagetablebold"/>
                <w:rFonts w:cs="Arial"/>
              </w:rPr>
            </w:pPr>
            <w:r w:rsidRPr="00F57E09">
              <w:rPr>
                <w:rStyle w:val="Firstpagetablebold"/>
                <w:rFonts w:cs="Arial"/>
              </w:rPr>
              <w:t>Policy Framework:</w:t>
            </w:r>
          </w:p>
        </w:tc>
        <w:tc>
          <w:tcPr>
            <w:tcW w:w="6418" w:type="dxa"/>
            <w:gridSpan w:val="2"/>
            <w:tcBorders>
              <w:top w:val="nil"/>
              <w:left w:val="nil"/>
              <w:bottom w:val="nil"/>
              <w:right w:val="single" w:sz="8" w:space="0" w:color="000000"/>
            </w:tcBorders>
            <w:hideMark/>
          </w:tcPr>
          <w:p w:rsidR="00D5547E" w:rsidRPr="00F57E09" w:rsidRDefault="00F57E09" w:rsidP="001C73BC">
            <w:pPr>
              <w:jc w:val="both"/>
              <w:rPr>
                <w:rFonts w:cs="Arial"/>
              </w:rPr>
            </w:pPr>
            <w:r w:rsidRPr="00F57E09">
              <w:rPr>
                <w:rFonts w:cs="Arial"/>
              </w:rPr>
              <w:t xml:space="preserve">Corporate Plan </w:t>
            </w:r>
          </w:p>
        </w:tc>
      </w:tr>
      <w:tr w:rsidR="005F7F7E" w:rsidRPr="00F57E09" w:rsidTr="00F071E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02"/>
        </w:trPr>
        <w:tc>
          <w:tcPr>
            <w:tcW w:w="9002" w:type="dxa"/>
            <w:gridSpan w:val="5"/>
            <w:tcBorders>
              <w:bottom w:val="single" w:sz="8" w:space="0" w:color="000000"/>
            </w:tcBorders>
          </w:tcPr>
          <w:p w:rsidR="005F7F7E" w:rsidRPr="00F57E09" w:rsidRDefault="006E5B3F" w:rsidP="0080315D">
            <w:pPr>
              <w:jc w:val="both"/>
              <w:rPr>
                <w:rFonts w:cs="Arial"/>
              </w:rPr>
            </w:pPr>
            <w:r>
              <w:rPr>
                <w:rStyle w:val="Firstpagetablebold"/>
                <w:rFonts w:cs="Arial"/>
              </w:rPr>
              <w:t>Recommendation</w:t>
            </w:r>
            <w:r w:rsidR="005F7F7E" w:rsidRPr="00F57E09">
              <w:rPr>
                <w:rStyle w:val="Firstpagetablebold"/>
                <w:rFonts w:cs="Arial"/>
              </w:rPr>
              <w:t>s:</w:t>
            </w:r>
            <w:r w:rsidR="0080315D">
              <w:rPr>
                <w:rStyle w:val="Firstpagetablebold"/>
                <w:rFonts w:cs="Arial"/>
              </w:rPr>
              <w:t xml:space="preserve"> </w:t>
            </w:r>
            <w:r w:rsidR="005F7F7E" w:rsidRPr="006E5B3F">
              <w:rPr>
                <w:rStyle w:val="Firstpagetablebold"/>
                <w:rFonts w:cs="Arial"/>
                <w:b w:val="0"/>
              </w:rPr>
              <w:t xml:space="preserve">That </w:t>
            </w:r>
            <w:r w:rsidR="0080315D">
              <w:rPr>
                <w:rStyle w:val="Firstpagetablebold"/>
                <w:rFonts w:cs="Arial"/>
                <w:b w:val="0"/>
              </w:rPr>
              <w:t xml:space="preserve">Cabinet  </w:t>
            </w:r>
            <w:r w:rsidR="005F7F7E" w:rsidRPr="006E5B3F">
              <w:rPr>
                <w:rStyle w:val="Firstpagetablebold"/>
                <w:rFonts w:cs="Arial"/>
                <w:b w:val="0"/>
              </w:rPr>
              <w:t>resolves to:</w:t>
            </w:r>
          </w:p>
        </w:tc>
      </w:tr>
      <w:tr w:rsidR="00E43C43" w:rsidRPr="00F57E09" w:rsidTr="00F071E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75"/>
        </w:trPr>
        <w:tc>
          <w:tcPr>
            <w:tcW w:w="427" w:type="dxa"/>
            <w:tcBorders>
              <w:top w:val="single" w:sz="8" w:space="0" w:color="000000"/>
              <w:left w:val="single" w:sz="8" w:space="0" w:color="000000"/>
              <w:bottom w:val="nil"/>
              <w:right w:val="nil"/>
            </w:tcBorders>
          </w:tcPr>
          <w:p w:rsidR="00E43C43" w:rsidRPr="00F57E09" w:rsidRDefault="00E43C43" w:rsidP="001C73BC">
            <w:pPr>
              <w:jc w:val="both"/>
              <w:rPr>
                <w:rFonts w:cs="Arial"/>
              </w:rPr>
            </w:pPr>
          </w:p>
        </w:tc>
        <w:tc>
          <w:tcPr>
            <w:tcW w:w="8575" w:type="dxa"/>
            <w:gridSpan w:val="4"/>
            <w:tcBorders>
              <w:top w:val="single" w:sz="8" w:space="0" w:color="000000"/>
              <w:left w:val="nil"/>
              <w:bottom w:val="nil"/>
              <w:right w:val="single" w:sz="8" w:space="0" w:color="000000"/>
            </w:tcBorders>
            <w:shd w:val="clear" w:color="auto" w:fill="auto"/>
          </w:tcPr>
          <w:p w:rsidR="00680A5B" w:rsidRPr="00680A5B" w:rsidRDefault="00250D32" w:rsidP="00680A5B">
            <w:pPr>
              <w:pStyle w:val="ListParagraph"/>
              <w:numPr>
                <w:ilvl w:val="0"/>
                <w:numId w:val="46"/>
              </w:numPr>
              <w:spacing w:after="0"/>
              <w:jc w:val="both"/>
              <w:rPr>
                <w:rFonts w:cs="Arial"/>
              </w:rPr>
            </w:pPr>
            <w:bookmarkStart w:id="0" w:name="_GoBack"/>
            <w:r w:rsidRPr="006E5B3F">
              <w:rPr>
                <w:rFonts w:cs="Arial"/>
                <w:b/>
              </w:rPr>
              <w:t>Approve</w:t>
            </w:r>
            <w:r w:rsidRPr="00680A5B">
              <w:rPr>
                <w:rFonts w:cs="Arial"/>
              </w:rPr>
              <w:t xml:space="preserve"> terms for new leases for the </w:t>
            </w:r>
            <w:r w:rsidR="00900DAE">
              <w:rPr>
                <w:rFonts w:cs="Arial"/>
              </w:rPr>
              <w:t xml:space="preserve">Trustees of the Oxfordshire </w:t>
            </w:r>
            <w:r w:rsidR="00E43C43" w:rsidRPr="00680A5B">
              <w:rPr>
                <w:rFonts w:cs="Arial"/>
              </w:rPr>
              <w:t>Chinese Community and Advice</w:t>
            </w:r>
            <w:r w:rsidR="00680A5B" w:rsidRPr="00680A5B">
              <w:rPr>
                <w:rFonts w:cs="Arial"/>
              </w:rPr>
              <w:t xml:space="preserve"> </w:t>
            </w:r>
            <w:r w:rsidR="00E43C43" w:rsidRPr="00680A5B">
              <w:rPr>
                <w:rFonts w:cs="Arial"/>
              </w:rPr>
              <w:t>Centre</w:t>
            </w:r>
            <w:r w:rsidR="00640829">
              <w:rPr>
                <w:rFonts w:cs="Arial"/>
              </w:rPr>
              <w:t xml:space="preserve"> </w:t>
            </w:r>
            <w:r w:rsidR="002038BC">
              <w:rPr>
                <w:rFonts w:cs="Arial"/>
              </w:rPr>
              <w:t>at</w:t>
            </w:r>
            <w:r w:rsidR="00900DAE">
              <w:rPr>
                <w:rFonts w:cs="Arial"/>
              </w:rPr>
              <w:t xml:space="preserve"> Princes Street,</w:t>
            </w:r>
            <w:r w:rsidR="00E43C43" w:rsidRPr="00680A5B">
              <w:rPr>
                <w:rFonts w:cs="Arial"/>
              </w:rPr>
              <w:t xml:space="preserve"> </w:t>
            </w:r>
            <w:r w:rsidR="00680A5B" w:rsidRPr="00680A5B">
              <w:rPr>
                <w:rFonts w:cs="Arial"/>
              </w:rPr>
              <w:t xml:space="preserve">the </w:t>
            </w:r>
            <w:r w:rsidR="00E43C43" w:rsidRPr="00680A5B">
              <w:rPr>
                <w:rFonts w:cs="Arial"/>
              </w:rPr>
              <w:t>Leys Community Development Initiative</w:t>
            </w:r>
            <w:r w:rsidR="002038BC">
              <w:rPr>
                <w:rFonts w:cs="Arial"/>
              </w:rPr>
              <w:t xml:space="preserve"> at Blackbird Leys Community Centre</w:t>
            </w:r>
            <w:r w:rsidR="00680A5B" w:rsidRPr="00680A5B">
              <w:rPr>
                <w:rFonts w:cs="Arial"/>
              </w:rPr>
              <w:t xml:space="preserve"> and </w:t>
            </w:r>
            <w:r w:rsidR="002038BC">
              <w:rPr>
                <w:rFonts w:cs="Arial"/>
              </w:rPr>
              <w:t>The</w:t>
            </w:r>
            <w:r w:rsidR="00900DAE">
              <w:rPr>
                <w:rFonts w:cs="Arial"/>
              </w:rPr>
              <w:t xml:space="preserve"> T</w:t>
            </w:r>
            <w:r w:rsidR="002038BC">
              <w:rPr>
                <w:rFonts w:cs="Arial"/>
              </w:rPr>
              <w:t xml:space="preserve">rustees of The  </w:t>
            </w:r>
            <w:r w:rsidR="00E43C43" w:rsidRPr="00680A5B">
              <w:rPr>
                <w:rFonts w:cs="Arial"/>
              </w:rPr>
              <w:t>Parasol</w:t>
            </w:r>
            <w:r w:rsidR="002038BC">
              <w:rPr>
                <w:rFonts w:cs="Arial"/>
              </w:rPr>
              <w:t xml:space="preserve"> Project</w:t>
            </w:r>
            <w:r w:rsidR="00900DAE">
              <w:rPr>
                <w:rFonts w:cs="Arial"/>
              </w:rPr>
              <w:t xml:space="preserve"> at </w:t>
            </w:r>
            <w:proofErr w:type="spellStart"/>
            <w:r w:rsidR="00900DAE">
              <w:rPr>
                <w:rFonts w:cs="Arial"/>
              </w:rPr>
              <w:t>Plowmans</w:t>
            </w:r>
            <w:proofErr w:type="spellEnd"/>
            <w:r w:rsidR="00900DAE">
              <w:rPr>
                <w:rFonts w:cs="Arial"/>
              </w:rPr>
              <w:t xml:space="preserve"> Tower</w:t>
            </w:r>
            <w:r w:rsidR="006E5B3F">
              <w:rPr>
                <w:rFonts w:cs="Arial"/>
              </w:rPr>
              <w:t>;</w:t>
            </w:r>
            <w:r w:rsidR="0080315D">
              <w:rPr>
                <w:rFonts w:cs="Arial"/>
              </w:rPr>
              <w:t xml:space="preserve"> and</w:t>
            </w:r>
          </w:p>
          <w:p w:rsidR="00900DAE" w:rsidRPr="00900DAE" w:rsidRDefault="00900DAE" w:rsidP="001D454C">
            <w:pPr>
              <w:tabs>
                <w:tab w:val="left" w:pos="720"/>
                <w:tab w:val="left" w:pos="1440"/>
                <w:tab w:val="left" w:pos="2304"/>
                <w:tab w:val="left" w:pos="3600"/>
                <w:tab w:val="left" w:pos="4320"/>
                <w:tab w:val="left" w:pos="5040"/>
              </w:tabs>
              <w:overflowPunct w:val="0"/>
              <w:autoSpaceDE w:val="0"/>
              <w:autoSpaceDN w:val="0"/>
              <w:adjustRightInd w:val="0"/>
              <w:spacing w:after="0"/>
              <w:textAlignment w:val="baseline"/>
              <w:rPr>
                <w:b/>
                <w:color w:val="auto"/>
                <w:szCs w:val="20"/>
              </w:rPr>
            </w:pPr>
          </w:p>
          <w:p w:rsidR="001D454C" w:rsidRDefault="00680A5B">
            <w:pPr>
              <w:spacing w:after="0"/>
              <w:ind w:hanging="533"/>
              <w:jc w:val="both"/>
              <w:rPr>
                <w:rFonts w:cs="Arial"/>
              </w:rPr>
            </w:pPr>
            <w:proofErr w:type="gramStart"/>
            <w:r>
              <w:rPr>
                <w:rFonts w:cs="Arial"/>
              </w:rPr>
              <w:t>To .</w:t>
            </w:r>
            <w:proofErr w:type="gramEnd"/>
            <w:r>
              <w:rPr>
                <w:rFonts w:cs="Arial"/>
              </w:rPr>
              <w:t xml:space="preserve">      2. </w:t>
            </w:r>
            <w:r w:rsidR="006E5B3F">
              <w:rPr>
                <w:rFonts w:cs="Arial"/>
              </w:rPr>
              <w:t xml:space="preserve">  </w:t>
            </w:r>
            <w:r w:rsidR="006E5B3F" w:rsidRPr="006E5B3F">
              <w:rPr>
                <w:rFonts w:cs="Arial"/>
                <w:b/>
              </w:rPr>
              <w:t>D</w:t>
            </w:r>
            <w:r w:rsidR="00E43C43" w:rsidRPr="006E5B3F">
              <w:rPr>
                <w:rFonts w:cs="Arial"/>
                <w:b/>
              </w:rPr>
              <w:t>elegate</w:t>
            </w:r>
            <w:r w:rsidR="00E43C43" w:rsidRPr="00BE537F">
              <w:rPr>
                <w:rFonts w:cs="Arial"/>
              </w:rPr>
              <w:t xml:space="preserve"> authority to </w:t>
            </w:r>
            <w:r w:rsidR="00677D5E">
              <w:rPr>
                <w:rFonts w:cs="Arial"/>
              </w:rPr>
              <w:t xml:space="preserve">the Regeneration and </w:t>
            </w:r>
            <w:r w:rsidR="00677D5E" w:rsidRPr="00BE537F">
              <w:rPr>
                <w:rFonts w:cs="Arial"/>
              </w:rPr>
              <w:t xml:space="preserve">Major Projects </w:t>
            </w:r>
            <w:r w:rsidR="00677D5E">
              <w:rPr>
                <w:rFonts w:cs="Arial"/>
              </w:rPr>
              <w:t xml:space="preserve">Service </w:t>
            </w:r>
            <w:r w:rsidR="001D454C">
              <w:rPr>
                <w:rFonts w:cs="Arial"/>
              </w:rPr>
              <w:t xml:space="preserve">  </w:t>
            </w:r>
          </w:p>
          <w:p w:rsidR="007D3B0F" w:rsidRDefault="001D454C">
            <w:pPr>
              <w:spacing w:after="0"/>
              <w:ind w:hanging="533"/>
              <w:jc w:val="both"/>
              <w:rPr>
                <w:rFonts w:cs="Arial"/>
              </w:rPr>
            </w:pPr>
            <w:r>
              <w:rPr>
                <w:rFonts w:cs="Arial"/>
              </w:rPr>
              <w:t xml:space="preserve">                  </w:t>
            </w:r>
            <w:r w:rsidR="00677D5E" w:rsidRPr="00BE537F">
              <w:rPr>
                <w:rFonts w:cs="Arial"/>
              </w:rPr>
              <w:t xml:space="preserve">Manager </w:t>
            </w:r>
            <w:r w:rsidR="00677D5E">
              <w:rPr>
                <w:rFonts w:cs="Arial"/>
              </w:rPr>
              <w:t xml:space="preserve">in consultation with </w:t>
            </w:r>
            <w:r w:rsidR="00E43C43" w:rsidRPr="00BE537F">
              <w:rPr>
                <w:rFonts w:cs="Arial"/>
              </w:rPr>
              <w:t>the Head of Community Services to make</w:t>
            </w:r>
          </w:p>
          <w:p w:rsidR="00646E4B" w:rsidRDefault="007D3B0F" w:rsidP="00646E4B">
            <w:pPr>
              <w:spacing w:after="0"/>
              <w:jc w:val="both"/>
              <w:rPr>
                <w:rFonts w:cs="Arial"/>
              </w:rPr>
            </w:pPr>
            <w:r>
              <w:rPr>
                <w:rFonts w:cs="Arial"/>
              </w:rPr>
              <w:t xml:space="preserve">          </w:t>
            </w:r>
            <w:r w:rsidR="00E43C43" w:rsidRPr="00BE537F">
              <w:rPr>
                <w:rFonts w:cs="Arial"/>
              </w:rPr>
              <w:t>such amendments as are</w:t>
            </w:r>
            <w:r w:rsidR="00646E4B">
              <w:rPr>
                <w:rFonts w:cs="Arial"/>
              </w:rPr>
              <w:t xml:space="preserve"> </w:t>
            </w:r>
            <w:r w:rsidR="00E43C43" w:rsidRPr="00BE537F">
              <w:rPr>
                <w:rFonts w:cs="Arial"/>
              </w:rPr>
              <w:t>required in order to</w:t>
            </w:r>
            <w:r w:rsidR="00430368">
              <w:rPr>
                <w:rFonts w:cs="Arial"/>
              </w:rPr>
              <w:t xml:space="preserve"> </w:t>
            </w:r>
            <w:r w:rsidR="00E43C43" w:rsidRPr="00BE537F">
              <w:rPr>
                <w:rFonts w:cs="Arial"/>
              </w:rPr>
              <w:t xml:space="preserve">complete the above </w:t>
            </w:r>
            <w:r w:rsidR="00250D32">
              <w:rPr>
                <w:rFonts w:cs="Arial"/>
              </w:rPr>
              <w:t>three</w:t>
            </w:r>
          </w:p>
          <w:p w:rsidR="00E43C43" w:rsidRPr="00BE537F" w:rsidRDefault="00646E4B" w:rsidP="00646E4B">
            <w:pPr>
              <w:spacing w:after="0"/>
              <w:jc w:val="both"/>
              <w:rPr>
                <w:rFonts w:cs="Arial"/>
              </w:rPr>
            </w:pPr>
            <w:r>
              <w:rPr>
                <w:rFonts w:cs="Arial"/>
              </w:rPr>
              <w:t xml:space="preserve">          </w:t>
            </w:r>
            <w:proofErr w:type="gramStart"/>
            <w:r w:rsidR="00E43C43" w:rsidRPr="00BE537F">
              <w:rPr>
                <w:rFonts w:cs="Arial"/>
              </w:rPr>
              <w:t>leases</w:t>
            </w:r>
            <w:proofErr w:type="gramEnd"/>
            <w:r w:rsidR="0080315D">
              <w:rPr>
                <w:rFonts w:cs="Arial"/>
              </w:rPr>
              <w:t>.</w:t>
            </w:r>
            <w:bookmarkEnd w:id="0"/>
          </w:p>
        </w:tc>
      </w:tr>
      <w:tr w:rsidR="00E43C43" w:rsidRPr="00F57E09" w:rsidTr="00F071E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75"/>
        </w:trPr>
        <w:tc>
          <w:tcPr>
            <w:tcW w:w="427" w:type="dxa"/>
            <w:tcBorders>
              <w:top w:val="nil"/>
              <w:left w:val="single" w:sz="8" w:space="0" w:color="000000"/>
              <w:bottom w:val="nil"/>
              <w:right w:val="nil"/>
            </w:tcBorders>
          </w:tcPr>
          <w:p w:rsidR="00E43C43" w:rsidRPr="00F57E09" w:rsidRDefault="00E43C43" w:rsidP="001C73BC">
            <w:pPr>
              <w:jc w:val="both"/>
              <w:rPr>
                <w:rFonts w:cs="Arial"/>
              </w:rPr>
            </w:pPr>
          </w:p>
        </w:tc>
        <w:tc>
          <w:tcPr>
            <w:tcW w:w="8575" w:type="dxa"/>
            <w:gridSpan w:val="4"/>
            <w:tcBorders>
              <w:top w:val="nil"/>
              <w:left w:val="nil"/>
              <w:bottom w:val="nil"/>
              <w:right w:val="single" w:sz="8" w:space="0" w:color="000000"/>
            </w:tcBorders>
            <w:shd w:val="clear" w:color="auto" w:fill="auto"/>
          </w:tcPr>
          <w:p w:rsidR="00E43C43" w:rsidRPr="00BE537F" w:rsidRDefault="00E43C43" w:rsidP="001C73BC">
            <w:pPr>
              <w:pStyle w:val="CommentText"/>
              <w:ind w:firstLine="34"/>
              <w:jc w:val="both"/>
              <w:rPr>
                <w:rFonts w:cs="Arial"/>
                <w:sz w:val="24"/>
                <w:szCs w:val="24"/>
              </w:rPr>
            </w:pPr>
          </w:p>
        </w:tc>
      </w:tr>
      <w:tr w:rsidR="00E43C43" w:rsidRPr="00F57E09" w:rsidTr="00F071E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75"/>
        </w:trPr>
        <w:tc>
          <w:tcPr>
            <w:tcW w:w="427" w:type="dxa"/>
            <w:tcBorders>
              <w:top w:val="nil"/>
              <w:left w:val="single" w:sz="8" w:space="0" w:color="000000"/>
              <w:bottom w:val="nil"/>
              <w:right w:val="nil"/>
            </w:tcBorders>
          </w:tcPr>
          <w:p w:rsidR="00E43C43" w:rsidRPr="00F57E09" w:rsidRDefault="00E43C43" w:rsidP="001C73BC">
            <w:pPr>
              <w:jc w:val="both"/>
              <w:rPr>
                <w:rFonts w:cs="Arial"/>
              </w:rPr>
            </w:pPr>
          </w:p>
        </w:tc>
        <w:tc>
          <w:tcPr>
            <w:tcW w:w="8575" w:type="dxa"/>
            <w:gridSpan w:val="4"/>
            <w:tcBorders>
              <w:top w:val="nil"/>
              <w:left w:val="nil"/>
              <w:bottom w:val="nil"/>
              <w:right w:val="single" w:sz="8" w:space="0" w:color="000000"/>
            </w:tcBorders>
            <w:shd w:val="clear" w:color="auto" w:fill="auto"/>
          </w:tcPr>
          <w:p w:rsidR="00E43C43" w:rsidRPr="00BE537F" w:rsidRDefault="00E43C43" w:rsidP="0080315D">
            <w:pPr>
              <w:pStyle w:val="CommentText"/>
              <w:spacing w:after="0"/>
              <w:jc w:val="both"/>
              <w:rPr>
                <w:rFonts w:cs="Arial"/>
                <w:sz w:val="24"/>
                <w:szCs w:val="24"/>
              </w:rPr>
            </w:pPr>
          </w:p>
        </w:tc>
      </w:tr>
      <w:tr w:rsidR="00232F5B" w:rsidRPr="00F57E09" w:rsidTr="006E5B3F">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75"/>
        </w:trPr>
        <w:tc>
          <w:tcPr>
            <w:tcW w:w="427" w:type="dxa"/>
            <w:tcBorders>
              <w:top w:val="nil"/>
              <w:left w:val="single" w:sz="8" w:space="0" w:color="000000"/>
              <w:bottom w:val="single" w:sz="4" w:space="0" w:color="auto"/>
              <w:right w:val="nil"/>
            </w:tcBorders>
          </w:tcPr>
          <w:p w:rsidR="0030208D" w:rsidRPr="00F57E09" w:rsidRDefault="0030208D" w:rsidP="001C73BC">
            <w:pPr>
              <w:jc w:val="both"/>
              <w:rPr>
                <w:rFonts w:cs="Arial"/>
              </w:rPr>
            </w:pPr>
          </w:p>
        </w:tc>
        <w:tc>
          <w:tcPr>
            <w:tcW w:w="8575" w:type="dxa"/>
            <w:gridSpan w:val="4"/>
            <w:tcBorders>
              <w:top w:val="nil"/>
              <w:left w:val="nil"/>
              <w:bottom w:val="single" w:sz="4" w:space="0" w:color="auto"/>
              <w:right w:val="single" w:sz="8" w:space="0" w:color="000000"/>
            </w:tcBorders>
            <w:shd w:val="clear" w:color="auto" w:fill="auto"/>
          </w:tcPr>
          <w:p w:rsidR="0030208D" w:rsidRPr="00F57E09" w:rsidRDefault="0030208D" w:rsidP="001C73BC">
            <w:pPr>
              <w:jc w:val="both"/>
              <w:rPr>
                <w:rFonts w:cs="Arial"/>
              </w:rPr>
            </w:pPr>
          </w:p>
        </w:tc>
      </w:tr>
      <w:tr w:rsidR="0030208D" w:rsidRPr="00F57E09" w:rsidTr="006E5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2442" w:type="dxa"/>
            <w:gridSpan w:val="2"/>
            <w:tcBorders>
              <w:top w:val="single" w:sz="4" w:space="0" w:color="auto"/>
              <w:left w:val="single" w:sz="4" w:space="0" w:color="auto"/>
              <w:bottom w:val="single" w:sz="4" w:space="0" w:color="auto"/>
              <w:right w:val="nil"/>
            </w:tcBorders>
            <w:shd w:val="clear" w:color="auto" w:fill="auto"/>
          </w:tcPr>
          <w:p w:rsidR="006E5B3F" w:rsidRDefault="006E5B3F" w:rsidP="006E5B3F">
            <w:pPr>
              <w:spacing w:after="0"/>
              <w:jc w:val="both"/>
              <w:rPr>
                <w:rFonts w:cs="Arial"/>
              </w:rPr>
            </w:pPr>
          </w:p>
          <w:p w:rsidR="00E70F01" w:rsidRDefault="00E70F01" w:rsidP="006E5B3F">
            <w:pPr>
              <w:spacing w:after="0"/>
              <w:jc w:val="both"/>
              <w:rPr>
                <w:rFonts w:cs="Arial"/>
              </w:rPr>
            </w:pPr>
            <w:r>
              <w:rPr>
                <w:rFonts w:cs="Arial"/>
              </w:rPr>
              <w:t>Appendix 1</w:t>
            </w:r>
          </w:p>
          <w:p w:rsidR="006E5B3F" w:rsidRDefault="006E5B3F" w:rsidP="006E5B3F">
            <w:pPr>
              <w:spacing w:after="0"/>
              <w:jc w:val="both"/>
              <w:rPr>
                <w:rFonts w:cs="Arial"/>
              </w:rPr>
            </w:pPr>
          </w:p>
          <w:p w:rsidR="0030208D" w:rsidRDefault="00E70F01" w:rsidP="006E5B3F">
            <w:pPr>
              <w:spacing w:after="0"/>
              <w:jc w:val="both"/>
              <w:rPr>
                <w:rFonts w:cs="Arial"/>
              </w:rPr>
            </w:pPr>
            <w:r>
              <w:rPr>
                <w:rFonts w:cs="Arial"/>
              </w:rPr>
              <w:t>Appendix 2</w:t>
            </w:r>
          </w:p>
          <w:p w:rsidR="00E70F01" w:rsidRPr="00F57E09" w:rsidRDefault="00E70F01" w:rsidP="006E5B3F">
            <w:pPr>
              <w:spacing w:after="0"/>
              <w:jc w:val="both"/>
              <w:rPr>
                <w:rFonts w:cs="Arial"/>
              </w:rPr>
            </w:pPr>
          </w:p>
        </w:tc>
        <w:tc>
          <w:tcPr>
            <w:tcW w:w="6560" w:type="dxa"/>
            <w:gridSpan w:val="3"/>
            <w:tcBorders>
              <w:top w:val="single" w:sz="4" w:space="0" w:color="auto"/>
              <w:left w:val="nil"/>
              <w:bottom w:val="single" w:sz="4" w:space="0" w:color="auto"/>
              <w:right w:val="single" w:sz="8" w:space="0" w:color="000000"/>
            </w:tcBorders>
          </w:tcPr>
          <w:p w:rsidR="006E5B3F" w:rsidRDefault="006E5B3F" w:rsidP="006E5B3F">
            <w:pPr>
              <w:spacing w:after="0"/>
              <w:jc w:val="both"/>
              <w:rPr>
                <w:rFonts w:cs="Arial"/>
              </w:rPr>
            </w:pPr>
          </w:p>
          <w:p w:rsidR="00E70F01" w:rsidRDefault="00E70F01" w:rsidP="006E5B3F">
            <w:pPr>
              <w:spacing w:after="0"/>
              <w:jc w:val="both"/>
              <w:rPr>
                <w:rFonts w:cs="Arial"/>
              </w:rPr>
            </w:pPr>
            <w:r>
              <w:rPr>
                <w:rFonts w:cs="Arial"/>
              </w:rPr>
              <w:t>Risk register</w:t>
            </w:r>
          </w:p>
          <w:p w:rsidR="006E5B3F" w:rsidRDefault="006E5B3F" w:rsidP="006E5B3F">
            <w:pPr>
              <w:spacing w:after="0"/>
              <w:jc w:val="both"/>
              <w:rPr>
                <w:rFonts w:cs="Arial"/>
              </w:rPr>
            </w:pPr>
          </w:p>
          <w:p w:rsidR="00E70F01" w:rsidRPr="00F57E09" w:rsidRDefault="00E70F01" w:rsidP="006E5B3F">
            <w:pPr>
              <w:spacing w:after="0"/>
              <w:jc w:val="both"/>
              <w:rPr>
                <w:rFonts w:cs="Arial"/>
              </w:rPr>
            </w:pPr>
            <w:r>
              <w:rPr>
                <w:rFonts w:cs="Arial"/>
              </w:rPr>
              <w:t xml:space="preserve">Community lease criteria </w:t>
            </w:r>
          </w:p>
        </w:tc>
      </w:tr>
    </w:tbl>
    <w:p w:rsidR="000D71D2" w:rsidRDefault="000D71D2" w:rsidP="001C73BC">
      <w:pPr>
        <w:pStyle w:val="CommentText"/>
        <w:jc w:val="both"/>
        <w:rPr>
          <w:rFonts w:cs="Arial"/>
          <w:b/>
          <w:sz w:val="24"/>
          <w:szCs w:val="24"/>
        </w:rPr>
      </w:pPr>
    </w:p>
    <w:p w:rsidR="00282DA3" w:rsidRDefault="00282DA3" w:rsidP="001C73BC">
      <w:pPr>
        <w:pStyle w:val="CommentText"/>
        <w:jc w:val="both"/>
        <w:rPr>
          <w:rFonts w:cs="Arial"/>
          <w:b/>
          <w:sz w:val="24"/>
          <w:szCs w:val="24"/>
        </w:rPr>
      </w:pPr>
    </w:p>
    <w:p w:rsidR="00F57E09" w:rsidRPr="00F57E09" w:rsidRDefault="00F57E09" w:rsidP="001C73BC">
      <w:pPr>
        <w:pStyle w:val="CommentText"/>
        <w:jc w:val="both"/>
        <w:rPr>
          <w:rFonts w:cs="Arial"/>
          <w:b/>
          <w:bCs/>
          <w:sz w:val="24"/>
          <w:szCs w:val="24"/>
          <w:u w:val="single"/>
        </w:rPr>
      </w:pPr>
      <w:r w:rsidRPr="00F57E09">
        <w:rPr>
          <w:rFonts w:cs="Arial"/>
          <w:b/>
          <w:sz w:val="24"/>
          <w:szCs w:val="24"/>
        </w:rPr>
        <w:lastRenderedPageBreak/>
        <w:t>Introduction and background</w:t>
      </w:r>
      <w:r w:rsidRPr="00F57E09">
        <w:rPr>
          <w:rFonts w:cs="Arial"/>
          <w:b/>
          <w:bCs/>
          <w:sz w:val="24"/>
          <w:szCs w:val="24"/>
          <w:u w:val="single"/>
        </w:rPr>
        <w:t xml:space="preserve">                                                                           </w:t>
      </w:r>
    </w:p>
    <w:p w:rsidR="00F57E09" w:rsidRPr="00F57E09" w:rsidRDefault="00F57E09" w:rsidP="001C73BC">
      <w:pPr>
        <w:jc w:val="both"/>
        <w:rPr>
          <w:rFonts w:cs="Arial"/>
          <w:b/>
        </w:rPr>
      </w:pPr>
    </w:p>
    <w:p w:rsidR="00352309" w:rsidRDefault="00352309" w:rsidP="001C73BC">
      <w:pPr>
        <w:numPr>
          <w:ilvl w:val="0"/>
          <w:numId w:val="34"/>
        </w:numPr>
        <w:spacing w:after="0"/>
        <w:jc w:val="both"/>
        <w:rPr>
          <w:rFonts w:cs="Arial"/>
        </w:rPr>
      </w:pPr>
      <w:r w:rsidRPr="00F57E09">
        <w:rPr>
          <w:rFonts w:cs="Arial"/>
        </w:rPr>
        <w:t xml:space="preserve">A community lease is provided at less than </w:t>
      </w:r>
      <w:r w:rsidR="000D71D2">
        <w:rPr>
          <w:rFonts w:cs="Arial"/>
        </w:rPr>
        <w:t xml:space="preserve">the </w:t>
      </w:r>
      <w:r w:rsidRPr="00F57E09">
        <w:rPr>
          <w:rFonts w:cs="Arial"/>
        </w:rPr>
        <w:t xml:space="preserve">market rent in exchange for the social value that </w:t>
      </w:r>
      <w:r>
        <w:rPr>
          <w:rFonts w:cs="Arial"/>
        </w:rPr>
        <w:t>the community group</w:t>
      </w:r>
      <w:r w:rsidR="00027BFA">
        <w:rPr>
          <w:rFonts w:cs="Arial"/>
        </w:rPr>
        <w:t>s</w:t>
      </w:r>
      <w:r>
        <w:rPr>
          <w:rFonts w:cs="Arial"/>
        </w:rPr>
        <w:t xml:space="preserve"> </w:t>
      </w:r>
      <w:r w:rsidR="000D71D2">
        <w:rPr>
          <w:rFonts w:cs="Arial"/>
        </w:rPr>
        <w:t>occupying</w:t>
      </w:r>
      <w:r w:rsidR="00E34F5F">
        <w:rPr>
          <w:rFonts w:cs="Arial"/>
        </w:rPr>
        <w:t xml:space="preserve"> the C</w:t>
      </w:r>
      <w:r w:rsidR="000D71D2">
        <w:rPr>
          <w:rFonts w:cs="Arial"/>
        </w:rPr>
        <w:t>ouncil owned building are able to deliver</w:t>
      </w:r>
      <w:r w:rsidRPr="00F57E09">
        <w:rPr>
          <w:rFonts w:cs="Arial"/>
        </w:rPr>
        <w:t>.</w:t>
      </w:r>
    </w:p>
    <w:p w:rsidR="00352309" w:rsidRPr="00F57E09" w:rsidRDefault="00352309" w:rsidP="001C73BC">
      <w:pPr>
        <w:spacing w:after="0"/>
        <w:ind w:left="720"/>
        <w:jc w:val="both"/>
        <w:rPr>
          <w:rFonts w:cs="Arial"/>
        </w:rPr>
      </w:pPr>
    </w:p>
    <w:p w:rsidR="00F57E09" w:rsidRPr="00F57E09" w:rsidRDefault="00F57E09" w:rsidP="001C73BC">
      <w:pPr>
        <w:numPr>
          <w:ilvl w:val="0"/>
          <w:numId w:val="34"/>
        </w:numPr>
        <w:spacing w:after="0"/>
        <w:jc w:val="both"/>
        <w:rPr>
          <w:rFonts w:cs="Arial"/>
        </w:rPr>
      </w:pPr>
      <w:r w:rsidRPr="00F57E09">
        <w:rPr>
          <w:rFonts w:cs="Arial"/>
        </w:rPr>
        <w:t xml:space="preserve">In 2017 the </w:t>
      </w:r>
      <w:r w:rsidR="0080315D">
        <w:rPr>
          <w:rFonts w:cs="Arial"/>
        </w:rPr>
        <w:t xml:space="preserve">City Executive Board </w:t>
      </w:r>
      <w:r w:rsidRPr="00F57E09">
        <w:rPr>
          <w:rFonts w:cs="Arial"/>
        </w:rPr>
        <w:t xml:space="preserve">agreed new criteria for community </w:t>
      </w:r>
      <w:r w:rsidR="00352309" w:rsidRPr="00F57E09">
        <w:rPr>
          <w:rFonts w:cs="Arial"/>
        </w:rPr>
        <w:t>leases</w:t>
      </w:r>
      <w:r w:rsidR="00352309">
        <w:rPr>
          <w:rFonts w:cs="Arial"/>
        </w:rPr>
        <w:t>; the key points are that the</w:t>
      </w:r>
      <w:r w:rsidR="00680A5B">
        <w:rPr>
          <w:rFonts w:cs="Arial"/>
        </w:rPr>
        <w:t xml:space="preserve"> leases </w:t>
      </w:r>
      <w:r w:rsidR="00352309">
        <w:rPr>
          <w:rFonts w:cs="Arial"/>
        </w:rPr>
        <w:t xml:space="preserve">are for 25 years, </w:t>
      </w:r>
      <w:r w:rsidR="005337FF">
        <w:rPr>
          <w:rFonts w:cs="Arial"/>
        </w:rPr>
        <w:t xml:space="preserve">at </w:t>
      </w:r>
      <w:r w:rsidR="00352309">
        <w:rPr>
          <w:rFonts w:cs="Arial"/>
        </w:rPr>
        <w:t>a</w:t>
      </w:r>
      <w:r w:rsidR="00270627">
        <w:rPr>
          <w:rFonts w:cs="Arial"/>
        </w:rPr>
        <w:t xml:space="preserve"> reduced </w:t>
      </w:r>
      <w:r w:rsidR="00352309">
        <w:rPr>
          <w:rFonts w:cs="Arial"/>
        </w:rPr>
        <w:t>rent, outside of the</w:t>
      </w:r>
      <w:r w:rsidR="005337FF">
        <w:rPr>
          <w:rFonts w:cs="Arial"/>
        </w:rPr>
        <w:t xml:space="preserve"> security of tenure provisions in the Landlord and Tenant Act 1954</w:t>
      </w:r>
      <w:r w:rsidR="00352309">
        <w:rPr>
          <w:rFonts w:cs="Arial"/>
        </w:rPr>
        <w:t xml:space="preserve"> and that they have regular break clauses.  </w:t>
      </w:r>
    </w:p>
    <w:p w:rsidR="00F57E09" w:rsidRPr="00F57E09" w:rsidRDefault="00F57E09" w:rsidP="001C73BC">
      <w:pPr>
        <w:spacing w:after="0"/>
        <w:ind w:left="720"/>
        <w:jc w:val="both"/>
        <w:rPr>
          <w:rFonts w:cs="Arial"/>
        </w:rPr>
      </w:pPr>
    </w:p>
    <w:p w:rsidR="00F57E09" w:rsidRDefault="00282DA3" w:rsidP="00646E4B">
      <w:pPr>
        <w:pStyle w:val="ListParagraph"/>
        <w:numPr>
          <w:ilvl w:val="0"/>
          <w:numId w:val="34"/>
        </w:numPr>
        <w:jc w:val="both"/>
        <w:rPr>
          <w:rFonts w:cs="Arial"/>
        </w:rPr>
      </w:pPr>
      <w:r>
        <w:rPr>
          <w:rFonts w:cs="Arial"/>
        </w:rPr>
        <w:t>The Cabinet</w:t>
      </w:r>
      <w:r w:rsidR="00F57E09" w:rsidRPr="00646E4B">
        <w:rPr>
          <w:rFonts w:cs="Arial"/>
        </w:rPr>
        <w:t xml:space="preserve"> must give </w:t>
      </w:r>
      <w:r w:rsidR="00E35779">
        <w:rPr>
          <w:rFonts w:cs="Arial"/>
        </w:rPr>
        <w:t xml:space="preserve">its </w:t>
      </w:r>
      <w:r w:rsidR="00F57E09" w:rsidRPr="00646E4B">
        <w:rPr>
          <w:rFonts w:cs="Arial"/>
        </w:rPr>
        <w:t xml:space="preserve">authority for </w:t>
      </w:r>
      <w:r w:rsidR="00E35779">
        <w:rPr>
          <w:rFonts w:cs="Arial"/>
        </w:rPr>
        <w:t xml:space="preserve">leases to be granted at </w:t>
      </w:r>
      <w:r w:rsidR="00F57E09" w:rsidRPr="00646E4B">
        <w:rPr>
          <w:rFonts w:cs="Arial"/>
        </w:rPr>
        <w:t>less than best consideration</w:t>
      </w:r>
      <w:r w:rsidR="000D71D2" w:rsidRPr="00646E4B">
        <w:rPr>
          <w:rFonts w:cs="Arial"/>
        </w:rPr>
        <w:t>. T</w:t>
      </w:r>
      <w:r w:rsidR="00F57E09" w:rsidRPr="00646E4B">
        <w:rPr>
          <w:rFonts w:cs="Arial"/>
        </w:rPr>
        <w:t>his report request</w:t>
      </w:r>
      <w:r w:rsidR="00E34F5F" w:rsidRPr="00646E4B">
        <w:rPr>
          <w:rFonts w:cs="Arial"/>
        </w:rPr>
        <w:t>s</w:t>
      </w:r>
      <w:r w:rsidR="00F57E09" w:rsidRPr="00646E4B">
        <w:rPr>
          <w:rFonts w:cs="Arial"/>
        </w:rPr>
        <w:t xml:space="preserve"> </w:t>
      </w:r>
      <w:r w:rsidR="0080315D">
        <w:rPr>
          <w:rFonts w:cs="Arial"/>
        </w:rPr>
        <w:t xml:space="preserve">that </w:t>
      </w:r>
      <w:r w:rsidR="00F57E09" w:rsidRPr="00646E4B">
        <w:rPr>
          <w:rFonts w:cs="Arial"/>
        </w:rPr>
        <w:t xml:space="preserve">the </w:t>
      </w:r>
      <w:r w:rsidR="0080315D">
        <w:rPr>
          <w:rFonts w:cs="Arial"/>
        </w:rPr>
        <w:t xml:space="preserve">Cabinet </w:t>
      </w:r>
      <w:r w:rsidR="00F57E09" w:rsidRPr="00646E4B">
        <w:rPr>
          <w:rFonts w:cs="Arial"/>
        </w:rPr>
        <w:t>agree</w:t>
      </w:r>
      <w:r w:rsidR="0080315D">
        <w:rPr>
          <w:rFonts w:cs="Arial"/>
        </w:rPr>
        <w:t>s</w:t>
      </w:r>
      <w:r w:rsidR="00F57E09" w:rsidRPr="00646E4B">
        <w:rPr>
          <w:rFonts w:cs="Arial"/>
        </w:rPr>
        <w:t xml:space="preserve"> </w:t>
      </w:r>
      <w:r w:rsidR="000D71D2" w:rsidRPr="00646E4B">
        <w:rPr>
          <w:rFonts w:cs="Arial"/>
        </w:rPr>
        <w:t xml:space="preserve">three </w:t>
      </w:r>
      <w:r w:rsidR="00F57E09" w:rsidRPr="00646E4B">
        <w:rPr>
          <w:rFonts w:cs="Arial"/>
        </w:rPr>
        <w:t xml:space="preserve">community leases and to delegate authority to agree future community leases </w:t>
      </w:r>
      <w:r w:rsidR="001D454C" w:rsidRPr="00646E4B">
        <w:rPr>
          <w:rFonts w:cs="Arial"/>
        </w:rPr>
        <w:t>to the</w:t>
      </w:r>
      <w:r w:rsidR="00064C1D" w:rsidRPr="00646E4B">
        <w:rPr>
          <w:rFonts w:cs="Arial"/>
        </w:rPr>
        <w:t xml:space="preserve"> Regeneration and Major Projects Service Manager</w:t>
      </w:r>
      <w:r w:rsidR="00646E4B">
        <w:rPr>
          <w:rFonts w:cs="Arial"/>
        </w:rPr>
        <w:t>.</w:t>
      </w:r>
    </w:p>
    <w:p w:rsidR="006E5B3F" w:rsidRPr="006E5B3F" w:rsidRDefault="006E5B3F" w:rsidP="006E5B3F">
      <w:pPr>
        <w:ind w:left="426" w:hanging="426"/>
        <w:jc w:val="both"/>
        <w:rPr>
          <w:rFonts w:cs="Arial"/>
        </w:rPr>
      </w:pPr>
    </w:p>
    <w:p w:rsidR="00027BFA" w:rsidRPr="00F57E09" w:rsidRDefault="00F57E09" w:rsidP="001C73BC">
      <w:pPr>
        <w:jc w:val="both"/>
        <w:rPr>
          <w:rFonts w:cs="Arial"/>
          <w:b/>
        </w:rPr>
      </w:pPr>
      <w:r w:rsidRPr="00F57E09">
        <w:rPr>
          <w:rFonts w:cs="Arial"/>
          <w:b/>
        </w:rPr>
        <w:t>Leases to be agreed</w:t>
      </w:r>
    </w:p>
    <w:p w:rsidR="00F57E09" w:rsidRDefault="00027BFA" w:rsidP="001C73BC">
      <w:pPr>
        <w:pStyle w:val="ListParagraph"/>
        <w:numPr>
          <w:ilvl w:val="0"/>
          <w:numId w:val="34"/>
        </w:numPr>
        <w:jc w:val="both"/>
        <w:rPr>
          <w:rFonts w:cs="Arial"/>
        </w:rPr>
      </w:pPr>
      <w:r>
        <w:rPr>
          <w:rFonts w:cs="Arial"/>
        </w:rPr>
        <w:t xml:space="preserve">The </w:t>
      </w:r>
      <w:r w:rsidR="0080315D">
        <w:rPr>
          <w:rFonts w:cs="Arial"/>
        </w:rPr>
        <w:t>Cabinet</w:t>
      </w:r>
      <w:r w:rsidR="00F57E09" w:rsidRPr="00F57E09">
        <w:rPr>
          <w:rFonts w:cs="Arial"/>
        </w:rPr>
        <w:t xml:space="preserve"> is requested to give authority for the Council to enter </w:t>
      </w:r>
      <w:r w:rsidR="00E34F5F">
        <w:rPr>
          <w:rFonts w:cs="Arial"/>
        </w:rPr>
        <w:t xml:space="preserve">into </w:t>
      </w:r>
      <w:r w:rsidR="00F57E09" w:rsidRPr="00F57E09">
        <w:rPr>
          <w:rFonts w:cs="Arial"/>
        </w:rPr>
        <w:t>leases with</w:t>
      </w:r>
      <w:r>
        <w:rPr>
          <w:rFonts w:cs="Arial"/>
        </w:rPr>
        <w:t xml:space="preserve"> the following community groups</w:t>
      </w:r>
      <w:r w:rsidR="00F57E09" w:rsidRPr="00F57E09">
        <w:rPr>
          <w:rFonts w:cs="Arial"/>
        </w:rPr>
        <w:t>:</w:t>
      </w:r>
    </w:p>
    <w:p w:rsidR="00027BFA" w:rsidRDefault="00027BFA" w:rsidP="001C73BC">
      <w:pPr>
        <w:jc w:val="both"/>
        <w:rPr>
          <w:rFonts w:cs="Arial"/>
          <w:b/>
        </w:rPr>
      </w:pPr>
    </w:p>
    <w:p w:rsidR="00F57E09" w:rsidRPr="006E0C13" w:rsidRDefault="00027BFA" w:rsidP="001C73BC">
      <w:pPr>
        <w:jc w:val="both"/>
        <w:rPr>
          <w:rFonts w:cs="Arial"/>
          <w:b/>
        </w:rPr>
      </w:pPr>
      <w:r>
        <w:rPr>
          <w:rFonts w:cs="Arial"/>
          <w:b/>
        </w:rPr>
        <w:t xml:space="preserve">      </w:t>
      </w:r>
      <w:proofErr w:type="spellStart"/>
      <w:r>
        <w:rPr>
          <w:rFonts w:cs="Arial"/>
          <w:b/>
        </w:rPr>
        <w:t>i</w:t>
      </w:r>
      <w:proofErr w:type="spellEnd"/>
      <w:r w:rsidR="00F57E09" w:rsidRPr="006E0C13">
        <w:rPr>
          <w:rFonts w:cs="Arial"/>
          <w:b/>
        </w:rPr>
        <w:t xml:space="preserve">) The </w:t>
      </w:r>
      <w:r w:rsidR="0036302C" w:rsidRPr="001D454C">
        <w:rPr>
          <w:rFonts w:cs="Arial"/>
          <w:b/>
        </w:rPr>
        <w:t>Trustees of the Oxfordshire Chinese Community and Advice Centre</w:t>
      </w:r>
      <w:r w:rsidR="0036302C">
        <w:rPr>
          <w:rFonts w:cs="Arial"/>
          <w:b/>
        </w:rPr>
        <w:t xml:space="preserve"> </w:t>
      </w:r>
    </w:p>
    <w:p w:rsidR="00F57E09" w:rsidRDefault="00027BFA" w:rsidP="001C73BC">
      <w:pPr>
        <w:numPr>
          <w:ilvl w:val="0"/>
          <w:numId w:val="34"/>
        </w:numPr>
        <w:spacing w:after="0"/>
        <w:jc w:val="both"/>
        <w:rPr>
          <w:rFonts w:cs="Arial"/>
        </w:rPr>
      </w:pPr>
      <w:r>
        <w:rPr>
          <w:rFonts w:cs="Arial"/>
        </w:rPr>
        <w:t>The Chinese</w:t>
      </w:r>
      <w:r w:rsidR="0036302C">
        <w:rPr>
          <w:rFonts w:cs="Arial"/>
        </w:rPr>
        <w:t xml:space="preserve"> Community and</w:t>
      </w:r>
      <w:r>
        <w:rPr>
          <w:rFonts w:cs="Arial"/>
        </w:rPr>
        <w:t xml:space="preserve"> Advice C</w:t>
      </w:r>
      <w:r w:rsidR="00F57E09" w:rsidRPr="00F57E09">
        <w:rPr>
          <w:rFonts w:cs="Arial"/>
        </w:rPr>
        <w:t xml:space="preserve">entre </w:t>
      </w:r>
      <w:proofErr w:type="gramStart"/>
      <w:r w:rsidR="00F57E09" w:rsidRPr="00F57E09">
        <w:rPr>
          <w:rFonts w:cs="Arial"/>
        </w:rPr>
        <w:t>is</w:t>
      </w:r>
      <w:proofErr w:type="gramEnd"/>
      <w:r w:rsidR="00F57E09" w:rsidRPr="00F57E09">
        <w:rPr>
          <w:rFonts w:cs="Arial"/>
        </w:rPr>
        <w:t xml:space="preserve"> based in the building </w:t>
      </w:r>
      <w:r w:rsidR="0036302C">
        <w:rPr>
          <w:rFonts w:cs="Arial"/>
        </w:rPr>
        <w:t xml:space="preserve">at Princes Street </w:t>
      </w:r>
      <w:r w:rsidR="00F57E09" w:rsidRPr="00F57E09">
        <w:rPr>
          <w:rFonts w:cs="Arial"/>
        </w:rPr>
        <w:t xml:space="preserve">adjoining East Oxford Community Centre. The building </w:t>
      </w:r>
      <w:r w:rsidR="00E34F5F">
        <w:rPr>
          <w:rFonts w:cs="Arial"/>
        </w:rPr>
        <w:t>the</w:t>
      </w:r>
      <w:r w:rsidR="0036302C">
        <w:rPr>
          <w:rFonts w:cs="Arial"/>
        </w:rPr>
        <w:t xml:space="preserve"> Trustees</w:t>
      </w:r>
      <w:bookmarkStart w:id="1" w:name="LastEdit"/>
      <w:bookmarkEnd w:id="1"/>
      <w:r w:rsidR="00F57E09" w:rsidRPr="00F57E09">
        <w:rPr>
          <w:rFonts w:cs="Arial"/>
        </w:rPr>
        <w:t xml:space="preserve"> occupy is part of the propose</w:t>
      </w:r>
      <w:r>
        <w:rPr>
          <w:rFonts w:cs="Arial"/>
        </w:rPr>
        <w:t>d</w:t>
      </w:r>
      <w:r w:rsidR="00F57E09" w:rsidRPr="00F57E09">
        <w:rPr>
          <w:rFonts w:cs="Arial"/>
        </w:rPr>
        <w:t xml:space="preserve"> redevelopment of the community centre</w:t>
      </w:r>
      <w:r w:rsidR="00E34F5F">
        <w:rPr>
          <w:rFonts w:cs="Arial"/>
        </w:rPr>
        <w:t xml:space="preserve">, it is </w:t>
      </w:r>
      <w:r w:rsidR="00F57E09" w:rsidRPr="00F57E09">
        <w:rPr>
          <w:rFonts w:cs="Arial"/>
        </w:rPr>
        <w:t>in poor condition an</w:t>
      </w:r>
      <w:r>
        <w:rPr>
          <w:rFonts w:cs="Arial"/>
        </w:rPr>
        <w:t>d</w:t>
      </w:r>
      <w:r w:rsidR="00F57E09" w:rsidRPr="00F57E09">
        <w:rPr>
          <w:rFonts w:cs="Arial"/>
        </w:rPr>
        <w:t xml:space="preserve"> part of the ground floor is condemned.</w:t>
      </w:r>
    </w:p>
    <w:p w:rsidR="00F57E09" w:rsidRPr="00F57E09" w:rsidRDefault="00F57E09" w:rsidP="001C73BC">
      <w:pPr>
        <w:spacing w:after="0"/>
        <w:ind w:left="720"/>
        <w:jc w:val="both"/>
        <w:rPr>
          <w:rFonts w:cs="Arial"/>
        </w:rPr>
      </w:pPr>
    </w:p>
    <w:p w:rsidR="00F57E09" w:rsidRDefault="00F57E09" w:rsidP="001C73BC">
      <w:pPr>
        <w:numPr>
          <w:ilvl w:val="0"/>
          <w:numId w:val="34"/>
        </w:numPr>
        <w:spacing w:after="0"/>
        <w:jc w:val="both"/>
        <w:rPr>
          <w:rFonts w:cs="Arial"/>
        </w:rPr>
      </w:pPr>
      <w:r w:rsidRPr="00F57E09">
        <w:rPr>
          <w:rFonts w:cs="Arial"/>
        </w:rPr>
        <w:t xml:space="preserve">Due to </w:t>
      </w:r>
      <w:r w:rsidR="00E34F5F">
        <w:rPr>
          <w:rFonts w:cs="Arial"/>
        </w:rPr>
        <w:t xml:space="preserve">a combination of the </w:t>
      </w:r>
      <w:r w:rsidRPr="00F57E09">
        <w:rPr>
          <w:rFonts w:cs="Arial"/>
        </w:rPr>
        <w:t xml:space="preserve">poor building condition, </w:t>
      </w:r>
      <w:r w:rsidR="00E34F5F" w:rsidRPr="00F57E09">
        <w:rPr>
          <w:rFonts w:cs="Arial"/>
        </w:rPr>
        <w:t xml:space="preserve">the need for flexibility with the </w:t>
      </w:r>
      <w:r w:rsidR="00A46E23">
        <w:rPr>
          <w:rFonts w:cs="Arial"/>
        </w:rPr>
        <w:t xml:space="preserve">planned </w:t>
      </w:r>
      <w:r w:rsidR="00E34F5F" w:rsidRPr="00F57E09">
        <w:rPr>
          <w:rFonts w:cs="Arial"/>
        </w:rPr>
        <w:t>development</w:t>
      </w:r>
      <w:r w:rsidR="00A46E23">
        <w:rPr>
          <w:rFonts w:cs="Arial"/>
        </w:rPr>
        <w:t xml:space="preserve"> of the community centre</w:t>
      </w:r>
      <w:r w:rsidR="00E34F5F">
        <w:rPr>
          <w:rFonts w:cs="Arial"/>
        </w:rPr>
        <w:t xml:space="preserve"> and the </w:t>
      </w:r>
      <w:r w:rsidRPr="00F57E09">
        <w:rPr>
          <w:rFonts w:cs="Arial"/>
        </w:rPr>
        <w:t xml:space="preserve">financial challenges the Advice Centre have had </w:t>
      </w:r>
      <w:r w:rsidR="00E34F5F">
        <w:rPr>
          <w:rFonts w:cs="Arial"/>
        </w:rPr>
        <w:t xml:space="preserve">the Council have </w:t>
      </w:r>
      <w:r w:rsidRPr="00F57E09">
        <w:rPr>
          <w:rFonts w:cs="Arial"/>
        </w:rPr>
        <w:t xml:space="preserve">given </w:t>
      </w:r>
      <w:r w:rsidR="00027BFA">
        <w:rPr>
          <w:rFonts w:cs="Arial"/>
        </w:rPr>
        <w:t>the</w:t>
      </w:r>
      <w:r w:rsidR="00E34F5F">
        <w:rPr>
          <w:rFonts w:cs="Arial"/>
        </w:rPr>
        <w:t xml:space="preserve"> Advice Centre </w:t>
      </w:r>
      <w:r w:rsidR="00270627">
        <w:rPr>
          <w:rFonts w:cs="Arial"/>
        </w:rPr>
        <w:t xml:space="preserve">a peppercorn rent on </w:t>
      </w:r>
      <w:r w:rsidR="00027BFA">
        <w:rPr>
          <w:rFonts w:cs="Arial"/>
        </w:rPr>
        <w:t>a short-</w:t>
      </w:r>
      <w:r w:rsidRPr="00F57E09">
        <w:rPr>
          <w:rFonts w:cs="Arial"/>
        </w:rPr>
        <w:t xml:space="preserve">term basis. </w:t>
      </w:r>
      <w:r w:rsidR="003E01B2">
        <w:rPr>
          <w:rFonts w:cs="Arial"/>
        </w:rPr>
        <w:t>It is</w:t>
      </w:r>
      <w:r w:rsidRPr="00F57E09">
        <w:rPr>
          <w:rFonts w:cs="Arial"/>
        </w:rPr>
        <w:t xml:space="preserve"> propos</w:t>
      </w:r>
      <w:r w:rsidR="003E01B2">
        <w:rPr>
          <w:rFonts w:cs="Arial"/>
        </w:rPr>
        <w:t>ed</w:t>
      </w:r>
      <w:r w:rsidRPr="00F57E09">
        <w:rPr>
          <w:rFonts w:cs="Arial"/>
        </w:rPr>
        <w:t xml:space="preserve"> that </w:t>
      </w:r>
      <w:r w:rsidR="00E34F5F">
        <w:rPr>
          <w:rFonts w:cs="Arial"/>
        </w:rPr>
        <w:t xml:space="preserve">this is </w:t>
      </w:r>
      <w:r w:rsidRPr="00F57E09">
        <w:rPr>
          <w:rFonts w:cs="Arial"/>
        </w:rPr>
        <w:t>extend</w:t>
      </w:r>
      <w:r w:rsidR="00E34F5F">
        <w:rPr>
          <w:rFonts w:cs="Arial"/>
        </w:rPr>
        <w:t>ed</w:t>
      </w:r>
      <w:r w:rsidRPr="00F57E09">
        <w:rPr>
          <w:rFonts w:cs="Arial"/>
        </w:rPr>
        <w:t xml:space="preserve"> </w:t>
      </w:r>
      <w:r w:rsidR="00027BFA">
        <w:rPr>
          <w:rFonts w:cs="Arial"/>
        </w:rPr>
        <w:t xml:space="preserve">until </w:t>
      </w:r>
      <w:r w:rsidR="003E01B2">
        <w:rPr>
          <w:rFonts w:cs="Arial"/>
        </w:rPr>
        <w:t>the Council</w:t>
      </w:r>
      <w:r w:rsidR="00027BFA">
        <w:rPr>
          <w:rFonts w:cs="Arial"/>
        </w:rPr>
        <w:t xml:space="preserve"> ha</w:t>
      </w:r>
      <w:r w:rsidR="003E01B2">
        <w:rPr>
          <w:rFonts w:cs="Arial"/>
        </w:rPr>
        <w:t>s</w:t>
      </w:r>
      <w:r w:rsidR="00027BFA">
        <w:rPr>
          <w:rFonts w:cs="Arial"/>
        </w:rPr>
        <w:t xml:space="preserve"> an agreed plan in place</w:t>
      </w:r>
      <w:r w:rsidR="00E34F5F">
        <w:rPr>
          <w:rFonts w:cs="Arial"/>
        </w:rPr>
        <w:t xml:space="preserve"> to improve the space they occupy</w:t>
      </w:r>
      <w:r w:rsidRPr="00F57E09">
        <w:rPr>
          <w:rFonts w:cs="Arial"/>
        </w:rPr>
        <w:t xml:space="preserve">. </w:t>
      </w:r>
    </w:p>
    <w:p w:rsidR="00F57E09" w:rsidRPr="00F57E09" w:rsidRDefault="00F57E09" w:rsidP="001C73BC">
      <w:pPr>
        <w:spacing w:after="0"/>
        <w:ind w:left="720"/>
        <w:jc w:val="both"/>
        <w:rPr>
          <w:rFonts w:cs="Arial"/>
        </w:rPr>
      </w:pPr>
    </w:p>
    <w:p w:rsidR="00F57E09" w:rsidRDefault="00F57E09" w:rsidP="001C73BC">
      <w:pPr>
        <w:numPr>
          <w:ilvl w:val="0"/>
          <w:numId w:val="34"/>
        </w:numPr>
        <w:spacing w:after="0"/>
        <w:jc w:val="both"/>
        <w:rPr>
          <w:rFonts w:cs="Arial"/>
        </w:rPr>
      </w:pPr>
      <w:r w:rsidRPr="00F57E09">
        <w:rPr>
          <w:rFonts w:cs="Arial"/>
        </w:rPr>
        <w:t>The key terms proposed for the lease are as follows:</w:t>
      </w:r>
    </w:p>
    <w:p w:rsidR="005F6A30" w:rsidRPr="005F6A30" w:rsidRDefault="005F6A30" w:rsidP="001C73BC">
      <w:pPr>
        <w:ind w:left="426" w:hanging="426"/>
        <w:jc w:val="both"/>
        <w:rPr>
          <w:rFonts w:cs="Arial"/>
        </w:rPr>
      </w:pPr>
    </w:p>
    <w:p w:rsidR="007A1ED6" w:rsidRPr="007A1ED6" w:rsidRDefault="005F6A30" w:rsidP="001C73BC">
      <w:pPr>
        <w:pStyle w:val="ListParagraph"/>
        <w:numPr>
          <w:ilvl w:val="0"/>
          <w:numId w:val="41"/>
        </w:numPr>
        <w:jc w:val="both"/>
        <w:rPr>
          <w:rFonts w:cs="Arial"/>
          <w:bCs/>
        </w:rPr>
      </w:pPr>
      <w:r w:rsidRPr="007A1ED6">
        <w:rPr>
          <w:rFonts w:cs="Arial"/>
        </w:rPr>
        <w:t>P</w:t>
      </w:r>
      <w:r w:rsidR="00F57E09" w:rsidRPr="007A1ED6">
        <w:rPr>
          <w:rFonts w:cs="Arial"/>
        </w:rPr>
        <w:t>eppercorn rent</w:t>
      </w:r>
    </w:p>
    <w:p w:rsidR="007A1ED6" w:rsidRPr="007A1ED6" w:rsidRDefault="005F6A30" w:rsidP="001C73BC">
      <w:pPr>
        <w:pStyle w:val="ListParagraph"/>
        <w:numPr>
          <w:ilvl w:val="0"/>
          <w:numId w:val="41"/>
        </w:numPr>
        <w:jc w:val="both"/>
        <w:rPr>
          <w:rFonts w:cs="Arial"/>
        </w:rPr>
      </w:pPr>
      <w:r w:rsidRPr="007A1ED6">
        <w:rPr>
          <w:rFonts w:cs="Arial"/>
          <w:bCs/>
        </w:rPr>
        <w:t>R</w:t>
      </w:r>
      <w:r w:rsidR="00F57E09" w:rsidRPr="007A1ED6">
        <w:rPr>
          <w:rFonts w:cs="Arial"/>
          <w:bCs/>
        </w:rPr>
        <w:t xml:space="preserve">olling break for either tenant or landlord to be terminated on 2 months’ notice </w:t>
      </w:r>
      <w:r w:rsidR="006E0C13" w:rsidRPr="007A1ED6">
        <w:rPr>
          <w:rFonts w:cs="Arial"/>
          <w:bCs/>
        </w:rPr>
        <w:t>at an</w:t>
      </w:r>
      <w:r w:rsidR="005337FF">
        <w:rPr>
          <w:rFonts w:cs="Arial"/>
          <w:bCs/>
        </w:rPr>
        <w:t>y</w:t>
      </w:r>
      <w:r w:rsidR="006E0C13" w:rsidRPr="007A1ED6">
        <w:rPr>
          <w:rFonts w:cs="Arial"/>
          <w:bCs/>
        </w:rPr>
        <w:t xml:space="preserve"> </w:t>
      </w:r>
      <w:r w:rsidR="00F57E09" w:rsidRPr="007A1ED6">
        <w:rPr>
          <w:rFonts w:cs="Arial"/>
          <w:bCs/>
        </w:rPr>
        <w:t>time</w:t>
      </w:r>
    </w:p>
    <w:p w:rsidR="00F57E09" w:rsidRPr="007A1ED6" w:rsidRDefault="006E0C13" w:rsidP="001C73BC">
      <w:pPr>
        <w:pStyle w:val="ListParagraph"/>
        <w:numPr>
          <w:ilvl w:val="0"/>
          <w:numId w:val="41"/>
        </w:numPr>
        <w:jc w:val="both"/>
        <w:rPr>
          <w:rFonts w:cs="Arial"/>
        </w:rPr>
      </w:pPr>
      <w:r w:rsidRPr="007A1ED6">
        <w:rPr>
          <w:rFonts w:cs="Arial"/>
        </w:rPr>
        <w:t>C</w:t>
      </w:r>
      <w:r w:rsidR="00F57E09" w:rsidRPr="007A1ED6">
        <w:rPr>
          <w:rFonts w:cs="Arial"/>
        </w:rPr>
        <w:t>ontractual term expiring 31 July 2021</w:t>
      </w:r>
    </w:p>
    <w:p w:rsidR="00F57E09" w:rsidRPr="006E0C13" w:rsidRDefault="00F57E09" w:rsidP="001C73BC">
      <w:pPr>
        <w:pStyle w:val="ListParagraph"/>
        <w:numPr>
          <w:ilvl w:val="0"/>
          <w:numId w:val="41"/>
        </w:numPr>
        <w:jc w:val="both"/>
        <w:rPr>
          <w:rFonts w:cs="Arial"/>
        </w:rPr>
      </w:pPr>
      <w:r w:rsidRPr="006E0C13">
        <w:rPr>
          <w:rFonts w:cs="Arial"/>
        </w:rPr>
        <w:t>The Council will continue to meet the cost of external and structural repairs and the cost of building insurance</w:t>
      </w:r>
      <w:r w:rsidR="00270627">
        <w:rPr>
          <w:rFonts w:cs="Arial"/>
        </w:rPr>
        <w:t>.</w:t>
      </w:r>
    </w:p>
    <w:p w:rsidR="00A46E23" w:rsidRPr="00F57E09" w:rsidRDefault="00A46E23" w:rsidP="001C73BC">
      <w:pPr>
        <w:jc w:val="both"/>
        <w:rPr>
          <w:rFonts w:cs="Arial"/>
          <w:b/>
        </w:rPr>
      </w:pPr>
    </w:p>
    <w:p w:rsidR="00F57E09" w:rsidRPr="006E0C13" w:rsidRDefault="00027BFA" w:rsidP="001C73BC">
      <w:pPr>
        <w:ind w:firstLine="426"/>
        <w:jc w:val="both"/>
        <w:rPr>
          <w:rFonts w:cs="Arial"/>
          <w:b/>
        </w:rPr>
      </w:pPr>
      <w:r>
        <w:rPr>
          <w:rFonts w:cs="Arial"/>
          <w:b/>
        </w:rPr>
        <w:t>ii</w:t>
      </w:r>
      <w:r w:rsidR="006E0C13" w:rsidRPr="006E0C13">
        <w:rPr>
          <w:rFonts w:cs="Arial"/>
          <w:b/>
        </w:rPr>
        <w:t>)</w:t>
      </w:r>
      <w:r w:rsidR="00F57E09" w:rsidRPr="006E0C13">
        <w:rPr>
          <w:rFonts w:cs="Arial"/>
          <w:b/>
        </w:rPr>
        <w:t xml:space="preserve"> Leys Community Development Initiative (CDI) </w:t>
      </w:r>
    </w:p>
    <w:p w:rsidR="00F57E09" w:rsidRDefault="00F57E09" w:rsidP="001C73BC">
      <w:pPr>
        <w:numPr>
          <w:ilvl w:val="0"/>
          <w:numId w:val="34"/>
        </w:numPr>
        <w:spacing w:after="0"/>
        <w:jc w:val="both"/>
        <w:rPr>
          <w:rFonts w:cs="Arial"/>
        </w:rPr>
      </w:pPr>
      <w:r w:rsidRPr="00F57E09">
        <w:rPr>
          <w:rFonts w:cs="Arial"/>
        </w:rPr>
        <w:t xml:space="preserve">The Leys CDI is based at Blackbird Leys Community Centre where they lease the main hall. </w:t>
      </w:r>
      <w:r w:rsidR="001C73BC">
        <w:rPr>
          <w:rFonts w:cs="Arial"/>
        </w:rPr>
        <w:t xml:space="preserve">The </w:t>
      </w:r>
      <w:r w:rsidR="00F071E7">
        <w:rPr>
          <w:rFonts w:cs="Arial"/>
        </w:rPr>
        <w:t xml:space="preserve">Leys </w:t>
      </w:r>
      <w:r w:rsidRPr="00F57E09">
        <w:rPr>
          <w:rFonts w:cs="Arial"/>
        </w:rPr>
        <w:t xml:space="preserve">CDI deliver a range of activities for children and young </w:t>
      </w:r>
      <w:r w:rsidRPr="00F57E09">
        <w:rPr>
          <w:rFonts w:cs="Arial"/>
        </w:rPr>
        <w:lastRenderedPageBreak/>
        <w:t>people.</w:t>
      </w:r>
      <w:r w:rsidR="00F071E7">
        <w:rPr>
          <w:rFonts w:cs="Arial"/>
        </w:rPr>
        <w:t xml:space="preserve"> The Community Centre is part of the proposed district centre development which is why this is a short-term lease.</w:t>
      </w:r>
    </w:p>
    <w:p w:rsidR="00027BFA" w:rsidRPr="00F57E09" w:rsidRDefault="00027BFA" w:rsidP="001C73BC">
      <w:pPr>
        <w:spacing w:after="0"/>
        <w:ind w:left="720"/>
        <w:jc w:val="both"/>
        <w:rPr>
          <w:rFonts w:cs="Arial"/>
        </w:rPr>
      </w:pPr>
    </w:p>
    <w:p w:rsidR="00F57E09" w:rsidRPr="00F57E09" w:rsidRDefault="00F57E09" w:rsidP="001C73BC">
      <w:pPr>
        <w:numPr>
          <w:ilvl w:val="0"/>
          <w:numId w:val="34"/>
        </w:numPr>
        <w:spacing w:after="0"/>
        <w:jc w:val="both"/>
        <w:rPr>
          <w:rFonts w:cs="Arial"/>
        </w:rPr>
      </w:pPr>
      <w:r w:rsidRPr="00F57E09">
        <w:rPr>
          <w:rFonts w:cs="Arial"/>
        </w:rPr>
        <w:t>The key terms proposed for the lease are:</w:t>
      </w:r>
    </w:p>
    <w:p w:rsidR="00F57E09" w:rsidRPr="00F57E09" w:rsidRDefault="00F57E09" w:rsidP="001C73BC">
      <w:pPr>
        <w:jc w:val="both"/>
        <w:rPr>
          <w:rFonts w:cs="Arial"/>
        </w:rPr>
      </w:pPr>
    </w:p>
    <w:p w:rsidR="00F57E09" w:rsidRPr="007A1ED6" w:rsidRDefault="007A1ED6" w:rsidP="001C73BC">
      <w:pPr>
        <w:pStyle w:val="ListParagraph"/>
        <w:numPr>
          <w:ilvl w:val="0"/>
          <w:numId w:val="42"/>
        </w:numPr>
        <w:ind w:left="709" w:hanging="283"/>
        <w:jc w:val="both"/>
        <w:rPr>
          <w:rFonts w:cs="Arial"/>
        </w:rPr>
      </w:pPr>
      <w:r>
        <w:rPr>
          <w:rFonts w:cs="Arial"/>
        </w:rPr>
        <w:t>P</w:t>
      </w:r>
      <w:r w:rsidR="00F57E09" w:rsidRPr="007A1ED6">
        <w:rPr>
          <w:rFonts w:cs="Arial"/>
        </w:rPr>
        <w:t>eppercorn rent</w:t>
      </w:r>
    </w:p>
    <w:p w:rsidR="00F57E09" w:rsidRPr="007A1ED6" w:rsidRDefault="007A1ED6" w:rsidP="001C73BC">
      <w:pPr>
        <w:pStyle w:val="ListParagraph"/>
        <w:numPr>
          <w:ilvl w:val="0"/>
          <w:numId w:val="42"/>
        </w:numPr>
        <w:ind w:left="709" w:hanging="283"/>
        <w:jc w:val="both"/>
        <w:rPr>
          <w:rFonts w:cs="Arial"/>
        </w:rPr>
      </w:pPr>
      <w:r>
        <w:rPr>
          <w:rFonts w:cs="Arial"/>
        </w:rPr>
        <w:t>R</w:t>
      </w:r>
      <w:r w:rsidR="00F57E09" w:rsidRPr="007A1ED6">
        <w:rPr>
          <w:rFonts w:cs="Arial"/>
        </w:rPr>
        <w:t>olling break for either tenant or landlord to be terminated on 3 months’ notice</w:t>
      </w:r>
      <w:r w:rsidRPr="007A1ED6">
        <w:rPr>
          <w:rFonts w:cs="Arial"/>
        </w:rPr>
        <w:t xml:space="preserve"> </w:t>
      </w:r>
      <w:r w:rsidR="00F57E09" w:rsidRPr="007A1ED6">
        <w:rPr>
          <w:rFonts w:cs="Arial"/>
        </w:rPr>
        <w:t>(by the tenant) or 6 months’ notice (by the landlord) at any time</w:t>
      </w:r>
    </w:p>
    <w:p w:rsidR="00F57E09" w:rsidRPr="007A1ED6" w:rsidRDefault="007A1ED6" w:rsidP="001C73BC">
      <w:pPr>
        <w:pStyle w:val="ListParagraph"/>
        <w:numPr>
          <w:ilvl w:val="0"/>
          <w:numId w:val="42"/>
        </w:numPr>
        <w:ind w:left="709" w:hanging="283"/>
        <w:jc w:val="both"/>
        <w:rPr>
          <w:rFonts w:cs="Arial"/>
        </w:rPr>
      </w:pPr>
      <w:r>
        <w:rPr>
          <w:rFonts w:cs="Arial"/>
        </w:rPr>
        <w:t>C</w:t>
      </w:r>
      <w:r w:rsidR="00F57E09" w:rsidRPr="007A1ED6">
        <w:rPr>
          <w:rFonts w:cs="Arial"/>
        </w:rPr>
        <w:t>ontractual term expiring 10 September 2020</w:t>
      </w:r>
    </w:p>
    <w:p w:rsidR="00F57E09" w:rsidRDefault="00F57E09" w:rsidP="001C73BC">
      <w:pPr>
        <w:pStyle w:val="ListParagraph"/>
        <w:numPr>
          <w:ilvl w:val="0"/>
          <w:numId w:val="42"/>
        </w:numPr>
        <w:ind w:left="709" w:hanging="283"/>
        <w:jc w:val="both"/>
        <w:rPr>
          <w:rFonts w:cs="Arial"/>
        </w:rPr>
      </w:pPr>
      <w:r w:rsidRPr="001C73BC">
        <w:rPr>
          <w:rFonts w:cs="Arial"/>
        </w:rPr>
        <w:t xml:space="preserve">The Council will continue to meet the cost of external and structural repairs and the cost of building insurance. </w:t>
      </w:r>
    </w:p>
    <w:p w:rsidR="001C73BC" w:rsidRPr="001C73BC" w:rsidRDefault="001C73BC" w:rsidP="001C73BC">
      <w:pPr>
        <w:pStyle w:val="ListParagraph"/>
        <w:numPr>
          <w:ilvl w:val="0"/>
          <w:numId w:val="0"/>
        </w:numPr>
        <w:ind w:left="709"/>
        <w:jc w:val="both"/>
        <w:rPr>
          <w:rFonts w:cs="Arial"/>
        </w:rPr>
      </w:pPr>
    </w:p>
    <w:p w:rsidR="00F57E09" w:rsidRPr="007A1ED6" w:rsidRDefault="007A1ED6" w:rsidP="001C73BC">
      <w:pPr>
        <w:ind w:firstLine="360"/>
        <w:jc w:val="both"/>
        <w:rPr>
          <w:rFonts w:cs="Arial"/>
          <w:b/>
        </w:rPr>
      </w:pPr>
      <w:r>
        <w:rPr>
          <w:rFonts w:cs="Arial"/>
          <w:b/>
        </w:rPr>
        <w:t>iii)</w:t>
      </w:r>
      <w:r w:rsidR="00F57E09" w:rsidRPr="007A1ED6">
        <w:rPr>
          <w:rFonts w:cs="Arial"/>
          <w:b/>
        </w:rPr>
        <w:t xml:space="preserve"> </w:t>
      </w:r>
      <w:r w:rsidR="002038BC">
        <w:rPr>
          <w:rFonts w:cs="Arial"/>
          <w:b/>
        </w:rPr>
        <w:t xml:space="preserve">The </w:t>
      </w:r>
      <w:r w:rsidR="00F57E09" w:rsidRPr="007A1ED6">
        <w:rPr>
          <w:rFonts w:cs="Arial"/>
          <w:b/>
        </w:rPr>
        <w:t>Parasol Project</w:t>
      </w:r>
    </w:p>
    <w:p w:rsidR="007A1ED6" w:rsidRDefault="007A1ED6" w:rsidP="001C73BC">
      <w:pPr>
        <w:spacing w:after="0"/>
        <w:ind w:left="720"/>
        <w:jc w:val="both"/>
        <w:rPr>
          <w:rFonts w:cs="Arial"/>
        </w:rPr>
      </w:pPr>
    </w:p>
    <w:p w:rsidR="00F57E09" w:rsidRPr="00F57E09" w:rsidRDefault="002038BC" w:rsidP="001C73BC">
      <w:pPr>
        <w:numPr>
          <w:ilvl w:val="0"/>
          <w:numId w:val="34"/>
        </w:numPr>
        <w:spacing w:after="0"/>
        <w:jc w:val="both"/>
        <w:rPr>
          <w:rFonts w:cs="Arial"/>
        </w:rPr>
      </w:pPr>
      <w:r w:rsidRPr="001D454C">
        <w:rPr>
          <w:rFonts w:cs="Arial"/>
        </w:rPr>
        <w:t xml:space="preserve">The </w:t>
      </w:r>
      <w:r w:rsidR="00F57E09" w:rsidRPr="001D454C">
        <w:rPr>
          <w:rFonts w:cs="Arial"/>
        </w:rPr>
        <w:t xml:space="preserve">Parasol </w:t>
      </w:r>
      <w:r w:rsidRPr="001D454C">
        <w:rPr>
          <w:rFonts w:cs="Arial"/>
        </w:rPr>
        <w:t>Project is</w:t>
      </w:r>
      <w:r w:rsidRPr="00F57E09">
        <w:rPr>
          <w:rFonts w:cs="Arial"/>
        </w:rPr>
        <w:t xml:space="preserve"> </w:t>
      </w:r>
      <w:r>
        <w:rPr>
          <w:rFonts w:cs="Arial"/>
        </w:rPr>
        <w:t xml:space="preserve">a charity </w:t>
      </w:r>
      <w:r w:rsidR="00F57E09" w:rsidRPr="00F57E09">
        <w:rPr>
          <w:rFonts w:cs="Arial"/>
        </w:rPr>
        <w:t xml:space="preserve">based at </w:t>
      </w:r>
      <w:proofErr w:type="spellStart"/>
      <w:r w:rsidR="00F57E09" w:rsidRPr="00F57E09">
        <w:rPr>
          <w:rFonts w:cs="Arial"/>
        </w:rPr>
        <w:t>Plowmans</w:t>
      </w:r>
      <w:proofErr w:type="spellEnd"/>
      <w:r w:rsidR="00F57E09" w:rsidRPr="00F57E09">
        <w:rPr>
          <w:rFonts w:cs="Arial"/>
        </w:rPr>
        <w:t xml:space="preserve"> Tower </w:t>
      </w:r>
      <w:r w:rsidR="00E35779">
        <w:rPr>
          <w:rFonts w:cs="Arial"/>
        </w:rPr>
        <w:t xml:space="preserve">that </w:t>
      </w:r>
      <w:r w:rsidR="00F57E09" w:rsidRPr="00F57E09">
        <w:rPr>
          <w:rFonts w:cs="Arial"/>
        </w:rPr>
        <w:t>deliver services to less advantaged young people</w:t>
      </w:r>
      <w:r w:rsidR="007A1ED6">
        <w:rPr>
          <w:rFonts w:cs="Arial"/>
        </w:rPr>
        <w:t>.</w:t>
      </w:r>
    </w:p>
    <w:p w:rsidR="00F57E09" w:rsidRPr="00F57E09" w:rsidRDefault="00F57E09" w:rsidP="001C73BC">
      <w:pPr>
        <w:ind w:left="720"/>
        <w:jc w:val="both"/>
        <w:rPr>
          <w:rFonts w:cs="Arial"/>
        </w:rPr>
      </w:pPr>
    </w:p>
    <w:p w:rsidR="00F57E09" w:rsidRPr="00F57E09" w:rsidRDefault="00F57E09" w:rsidP="001C73BC">
      <w:pPr>
        <w:numPr>
          <w:ilvl w:val="0"/>
          <w:numId w:val="34"/>
        </w:numPr>
        <w:spacing w:after="0"/>
        <w:jc w:val="both"/>
        <w:rPr>
          <w:rFonts w:cs="Arial"/>
        </w:rPr>
      </w:pPr>
      <w:r w:rsidRPr="00F57E09">
        <w:rPr>
          <w:rFonts w:cs="Arial"/>
        </w:rPr>
        <w:t>The key terms proposed for the lease are:</w:t>
      </w:r>
    </w:p>
    <w:p w:rsidR="00F57E09" w:rsidRPr="00F57E09" w:rsidRDefault="00F57E09" w:rsidP="001C73BC">
      <w:pPr>
        <w:pStyle w:val="ListParagraph"/>
        <w:numPr>
          <w:ilvl w:val="0"/>
          <w:numId w:val="0"/>
        </w:numPr>
        <w:ind w:left="720"/>
        <w:jc w:val="both"/>
        <w:rPr>
          <w:rFonts w:cs="Arial"/>
        </w:rPr>
      </w:pPr>
    </w:p>
    <w:p w:rsidR="00F57E09" w:rsidRDefault="007A1ED6" w:rsidP="001C73BC">
      <w:pPr>
        <w:pStyle w:val="ListParagraph"/>
        <w:numPr>
          <w:ilvl w:val="0"/>
          <w:numId w:val="43"/>
        </w:numPr>
        <w:spacing w:after="0" w:line="360" w:lineRule="auto"/>
        <w:ind w:left="709" w:hanging="283"/>
        <w:contextualSpacing/>
        <w:jc w:val="both"/>
        <w:rPr>
          <w:rFonts w:cs="Arial"/>
        </w:rPr>
      </w:pPr>
      <w:r>
        <w:rPr>
          <w:rFonts w:cs="Arial"/>
        </w:rPr>
        <w:t>P</w:t>
      </w:r>
      <w:r w:rsidR="00F57E09" w:rsidRPr="007A1ED6">
        <w:rPr>
          <w:rFonts w:cs="Arial"/>
        </w:rPr>
        <w:t>eppercorn rent</w:t>
      </w:r>
    </w:p>
    <w:p w:rsidR="00F57E09" w:rsidRPr="00F071E7" w:rsidRDefault="007A1ED6" w:rsidP="00F071E7">
      <w:pPr>
        <w:pStyle w:val="ListParagraph"/>
        <w:numPr>
          <w:ilvl w:val="0"/>
          <w:numId w:val="43"/>
        </w:numPr>
        <w:spacing w:after="0"/>
        <w:ind w:left="709" w:hanging="283"/>
        <w:contextualSpacing/>
        <w:jc w:val="both"/>
        <w:rPr>
          <w:rFonts w:cs="Arial"/>
        </w:rPr>
      </w:pPr>
      <w:r>
        <w:rPr>
          <w:rFonts w:cs="Arial"/>
          <w:bCs/>
        </w:rPr>
        <w:t>R</w:t>
      </w:r>
      <w:r w:rsidR="00F57E09" w:rsidRPr="007A1ED6">
        <w:rPr>
          <w:rFonts w:cs="Arial"/>
          <w:bCs/>
        </w:rPr>
        <w:t>olling break for either tenant or landlord to be te</w:t>
      </w:r>
      <w:r>
        <w:rPr>
          <w:rFonts w:cs="Arial"/>
          <w:bCs/>
        </w:rPr>
        <w:t xml:space="preserve">rminated on 6 months’ notice </w:t>
      </w:r>
      <w:r w:rsidR="00F071E7">
        <w:rPr>
          <w:rFonts w:cs="Arial"/>
          <w:bCs/>
        </w:rPr>
        <w:t>an</w:t>
      </w:r>
      <w:r w:rsidR="00F57E09" w:rsidRPr="007A1ED6">
        <w:rPr>
          <w:rFonts w:cs="Arial"/>
          <w:bCs/>
        </w:rPr>
        <w:t>y time</w:t>
      </w:r>
    </w:p>
    <w:p w:rsidR="00F57E09" w:rsidRPr="007A1ED6" w:rsidRDefault="002C2C8D" w:rsidP="001C73BC">
      <w:pPr>
        <w:pStyle w:val="ListParagraph"/>
        <w:numPr>
          <w:ilvl w:val="0"/>
          <w:numId w:val="43"/>
        </w:numPr>
        <w:spacing w:after="0" w:line="360" w:lineRule="auto"/>
        <w:ind w:left="709" w:hanging="283"/>
        <w:contextualSpacing/>
        <w:jc w:val="both"/>
        <w:rPr>
          <w:rFonts w:cs="Arial"/>
        </w:rPr>
      </w:pPr>
      <w:r>
        <w:rPr>
          <w:rFonts w:cs="Arial"/>
          <w:bCs/>
        </w:rPr>
        <w:t>25</w:t>
      </w:r>
      <w:r w:rsidRPr="007A1ED6">
        <w:rPr>
          <w:rFonts w:cs="Arial"/>
          <w:bCs/>
        </w:rPr>
        <w:t xml:space="preserve"> </w:t>
      </w:r>
      <w:r w:rsidR="00F57E09" w:rsidRPr="007A1ED6">
        <w:rPr>
          <w:rFonts w:cs="Arial"/>
          <w:bCs/>
        </w:rPr>
        <w:t>year term</w:t>
      </w:r>
    </w:p>
    <w:p w:rsidR="00F57E09" w:rsidRPr="007A1ED6" w:rsidRDefault="007A1ED6" w:rsidP="00270627">
      <w:pPr>
        <w:pStyle w:val="ListParagraph"/>
        <w:numPr>
          <w:ilvl w:val="0"/>
          <w:numId w:val="43"/>
        </w:numPr>
        <w:spacing w:after="0"/>
        <w:ind w:left="709" w:hanging="283"/>
        <w:jc w:val="both"/>
        <w:rPr>
          <w:rFonts w:cs="Arial"/>
        </w:rPr>
      </w:pPr>
      <w:r w:rsidRPr="007A1ED6">
        <w:rPr>
          <w:rFonts w:cs="Arial"/>
        </w:rPr>
        <w:t>T</w:t>
      </w:r>
      <w:r w:rsidR="00F57E09" w:rsidRPr="007A1ED6">
        <w:rPr>
          <w:rFonts w:cs="Arial"/>
        </w:rPr>
        <w:t>he Council will continue to meet the cost of external and structural repairs and the cost of building insurance</w:t>
      </w:r>
    </w:p>
    <w:p w:rsidR="00F57E09" w:rsidRPr="00F57E09" w:rsidRDefault="00F57E09" w:rsidP="001C73BC">
      <w:pPr>
        <w:pStyle w:val="ListParagraph"/>
        <w:numPr>
          <w:ilvl w:val="0"/>
          <w:numId w:val="0"/>
        </w:numPr>
        <w:ind w:left="1800"/>
        <w:jc w:val="both"/>
        <w:rPr>
          <w:rFonts w:cs="Arial"/>
        </w:rPr>
      </w:pPr>
    </w:p>
    <w:p w:rsidR="00F57E09" w:rsidRPr="00F57E09" w:rsidRDefault="00F57E09" w:rsidP="001C73BC">
      <w:pPr>
        <w:ind w:left="360"/>
        <w:jc w:val="both"/>
        <w:rPr>
          <w:rFonts w:cs="Arial"/>
          <w:b/>
        </w:rPr>
      </w:pPr>
      <w:r w:rsidRPr="00F57E09">
        <w:rPr>
          <w:rFonts w:cs="Arial"/>
          <w:b/>
        </w:rPr>
        <w:t xml:space="preserve">Delegation of authority </w:t>
      </w:r>
    </w:p>
    <w:p w:rsidR="00F57E09" w:rsidRPr="00F57E09" w:rsidRDefault="00F57E09" w:rsidP="001C73BC">
      <w:pPr>
        <w:pStyle w:val="Default"/>
        <w:jc w:val="both"/>
      </w:pPr>
    </w:p>
    <w:p w:rsidR="00F57E09" w:rsidRPr="00F57E09" w:rsidRDefault="00F57E09" w:rsidP="001C73BC">
      <w:pPr>
        <w:numPr>
          <w:ilvl w:val="0"/>
          <w:numId w:val="34"/>
        </w:numPr>
        <w:spacing w:after="0"/>
        <w:jc w:val="both"/>
        <w:rPr>
          <w:rFonts w:cs="Arial"/>
        </w:rPr>
      </w:pPr>
      <w:r w:rsidRPr="00F57E09">
        <w:rPr>
          <w:rFonts w:cs="Arial"/>
        </w:rPr>
        <w:t xml:space="preserve">It is recommended that the </w:t>
      </w:r>
      <w:r w:rsidR="0080315D">
        <w:rPr>
          <w:rFonts w:cs="Arial"/>
        </w:rPr>
        <w:t xml:space="preserve">Cabinet </w:t>
      </w:r>
      <w:r w:rsidRPr="00F57E09">
        <w:rPr>
          <w:rFonts w:cs="Arial"/>
        </w:rPr>
        <w:t xml:space="preserve">delegates authority to the </w:t>
      </w:r>
      <w:r w:rsidR="002C2C8D">
        <w:rPr>
          <w:rFonts w:cs="Arial"/>
        </w:rPr>
        <w:t xml:space="preserve">Regeneration and </w:t>
      </w:r>
      <w:r w:rsidRPr="00F57E09">
        <w:rPr>
          <w:rFonts w:cs="Arial"/>
        </w:rPr>
        <w:t xml:space="preserve">Major Projects </w:t>
      </w:r>
      <w:r w:rsidR="002C2C8D">
        <w:rPr>
          <w:rFonts w:cs="Arial"/>
        </w:rPr>
        <w:t xml:space="preserve">Service </w:t>
      </w:r>
      <w:r w:rsidRPr="00F57E09">
        <w:rPr>
          <w:rFonts w:cs="Arial"/>
        </w:rPr>
        <w:t>Manager</w:t>
      </w:r>
      <w:r w:rsidR="00677D5E">
        <w:rPr>
          <w:rFonts w:cs="Arial"/>
        </w:rPr>
        <w:t xml:space="preserve"> in consultation with </w:t>
      </w:r>
      <w:r w:rsidR="00677D5E" w:rsidRPr="00F57E09">
        <w:rPr>
          <w:rFonts w:cs="Arial"/>
        </w:rPr>
        <w:t>the Head of Community Services</w:t>
      </w:r>
      <w:r w:rsidRPr="00F57E09">
        <w:rPr>
          <w:rFonts w:cs="Arial"/>
        </w:rPr>
        <w:t xml:space="preserve"> to </w:t>
      </w:r>
      <w:r w:rsidR="00064C1D">
        <w:rPr>
          <w:rFonts w:cs="Arial"/>
        </w:rPr>
        <w:t>agree</w:t>
      </w:r>
      <w:r w:rsidR="00064C1D" w:rsidRPr="00F57E09">
        <w:rPr>
          <w:rFonts w:cs="Arial"/>
        </w:rPr>
        <w:t xml:space="preserve"> </w:t>
      </w:r>
      <w:r w:rsidR="001C73BC">
        <w:rPr>
          <w:rFonts w:cs="Arial"/>
        </w:rPr>
        <w:t xml:space="preserve">the final changes </w:t>
      </w:r>
      <w:r w:rsidRPr="00F57E09">
        <w:rPr>
          <w:rFonts w:cs="Arial"/>
        </w:rPr>
        <w:t>to complete the above leases.</w:t>
      </w:r>
    </w:p>
    <w:p w:rsidR="00F57E09" w:rsidRPr="00F57E09" w:rsidRDefault="00F57E09" w:rsidP="001C73BC">
      <w:pPr>
        <w:ind w:left="720"/>
        <w:jc w:val="both"/>
        <w:rPr>
          <w:rFonts w:cs="Arial"/>
        </w:rPr>
      </w:pPr>
    </w:p>
    <w:p w:rsidR="00E43C43" w:rsidRPr="00F57E09" w:rsidRDefault="00E43C43" w:rsidP="001C73BC">
      <w:pPr>
        <w:pStyle w:val="Heading1"/>
        <w:jc w:val="both"/>
        <w:rPr>
          <w:rFonts w:cs="Arial"/>
        </w:rPr>
      </w:pPr>
      <w:r w:rsidRPr="00F57E09">
        <w:rPr>
          <w:rFonts w:cs="Arial"/>
        </w:rPr>
        <w:t>Financial implications</w:t>
      </w:r>
    </w:p>
    <w:p w:rsidR="0060520B" w:rsidRDefault="0060520B" w:rsidP="0060520B">
      <w:pPr>
        <w:pStyle w:val="ListParagraph"/>
        <w:numPr>
          <w:ilvl w:val="0"/>
          <w:numId w:val="34"/>
        </w:numPr>
        <w:jc w:val="both"/>
      </w:pPr>
      <w:r>
        <w:t xml:space="preserve">Where the Council awards a subsidised community lease, it is making a decision to forego a potential higher rental income in exchange for increased social value. It is important that the level of subsidy should be transparent and that the social benefits are demonstrable so the Council can assess how well this investment meets its corporate objectives. </w:t>
      </w:r>
    </w:p>
    <w:p w:rsidR="002B416E" w:rsidRPr="0080315D" w:rsidRDefault="0060520B" w:rsidP="0060520B">
      <w:pPr>
        <w:pStyle w:val="ListParagraph"/>
        <w:numPr>
          <w:ilvl w:val="0"/>
          <w:numId w:val="34"/>
        </w:numPr>
        <w:jc w:val="both"/>
        <w:rPr>
          <w:rFonts w:cs="Arial"/>
        </w:rPr>
      </w:pPr>
      <w:r>
        <w:t xml:space="preserve">The report is not requesting any adjustments to the current budget. </w:t>
      </w:r>
    </w:p>
    <w:p w:rsidR="0080315D" w:rsidRDefault="0080315D" w:rsidP="0080315D">
      <w:pPr>
        <w:jc w:val="both"/>
        <w:rPr>
          <w:rFonts w:cs="Arial"/>
        </w:rPr>
      </w:pPr>
    </w:p>
    <w:p w:rsidR="0080315D" w:rsidRDefault="0080315D" w:rsidP="0080315D">
      <w:pPr>
        <w:jc w:val="both"/>
        <w:rPr>
          <w:rFonts w:cs="Arial"/>
        </w:rPr>
      </w:pPr>
    </w:p>
    <w:p w:rsidR="0080315D" w:rsidRPr="0080315D" w:rsidRDefault="0080315D" w:rsidP="0080315D">
      <w:pPr>
        <w:jc w:val="both"/>
        <w:rPr>
          <w:rFonts w:cs="Arial"/>
        </w:rPr>
      </w:pPr>
    </w:p>
    <w:p w:rsidR="00E43C43" w:rsidRPr="00F57E09" w:rsidRDefault="00E43C43" w:rsidP="001C73BC">
      <w:pPr>
        <w:pStyle w:val="Heading1"/>
        <w:jc w:val="both"/>
        <w:rPr>
          <w:rFonts w:cs="Arial"/>
        </w:rPr>
      </w:pPr>
      <w:r w:rsidRPr="00F57E09">
        <w:rPr>
          <w:rFonts w:cs="Arial"/>
        </w:rPr>
        <w:lastRenderedPageBreak/>
        <w:t>Legal issues</w:t>
      </w:r>
    </w:p>
    <w:p w:rsidR="00E43C43" w:rsidRPr="002B416E" w:rsidRDefault="008C1A67" w:rsidP="008C1A67">
      <w:pPr>
        <w:pStyle w:val="ListParagraph"/>
        <w:numPr>
          <w:ilvl w:val="0"/>
          <w:numId w:val="34"/>
        </w:numPr>
        <w:jc w:val="both"/>
        <w:rPr>
          <w:rFonts w:cs="Arial"/>
        </w:rPr>
      </w:pPr>
      <w:r>
        <w:rPr>
          <w:rFonts w:cs="Arial"/>
        </w:rPr>
        <w:t>All new community l</w:t>
      </w:r>
      <w:r w:rsidR="00E43C43" w:rsidRPr="002B416E">
        <w:rPr>
          <w:rFonts w:cs="Arial"/>
        </w:rPr>
        <w:t xml:space="preserve">eases will be outside of the </w:t>
      </w:r>
      <w:r w:rsidR="002C2C8D">
        <w:rPr>
          <w:rFonts w:cs="Arial"/>
        </w:rPr>
        <w:t>security of tenure provisions in the Landlord and Tenant Act 1954.</w:t>
      </w:r>
      <w:r w:rsidR="002038BC">
        <w:rPr>
          <w:rFonts w:cs="Arial"/>
        </w:rPr>
        <w:t xml:space="preserve"> The Council has the power to enter the leases under Section 123 of the Local Government Act 1972.</w:t>
      </w:r>
    </w:p>
    <w:p w:rsidR="00E43C43" w:rsidRDefault="00E43C43" w:rsidP="001C73BC">
      <w:pPr>
        <w:pStyle w:val="Heading1"/>
        <w:jc w:val="both"/>
        <w:rPr>
          <w:rFonts w:cs="Arial"/>
        </w:rPr>
      </w:pPr>
      <w:r w:rsidRPr="00F57E09">
        <w:rPr>
          <w:rFonts w:cs="Arial"/>
        </w:rPr>
        <w:t>Level of risk</w:t>
      </w:r>
    </w:p>
    <w:p w:rsidR="00E43C43" w:rsidRPr="00E43C43" w:rsidRDefault="002B416E" w:rsidP="008C1A67">
      <w:pPr>
        <w:pStyle w:val="ListParagraph"/>
        <w:numPr>
          <w:ilvl w:val="0"/>
          <w:numId w:val="34"/>
        </w:numPr>
        <w:jc w:val="both"/>
      </w:pPr>
      <w:r>
        <w:t>The risks are included in the risk assessment (</w:t>
      </w:r>
      <w:r w:rsidR="00E35779">
        <w:t>A</w:t>
      </w:r>
      <w:r>
        <w:t xml:space="preserve">ppendix 1) </w:t>
      </w:r>
    </w:p>
    <w:p w:rsidR="00E43C43" w:rsidRDefault="00E43C43" w:rsidP="001C73BC">
      <w:pPr>
        <w:pStyle w:val="Heading1"/>
        <w:jc w:val="both"/>
        <w:rPr>
          <w:rFonts w:cs="Arial"/>
        </w:rPr>
      </w:pPr>
      <w:r w:rsidRPr="00F57E09">
        <w:rPr>
          <w:rFonts w:cs="Arial"/>
        </w:rPr>
        <w:t xml:space="preserve">Equalities impact </w:t>
      </w:r>
    </w:p>
    <w:p w:rsidR="002B416E" w:rsidRPr="0060520B" w:rsidRDefault="0060520B" w:rsidP="0060520B">
      <w:pPr>
        <w:pStyle w:val="ListParagraph"/>
        <w:numPr>
          <w:ilvl w:val="0"/>
          <w:numId w:val="34"/>
        </w:numPr>
        <w:spacing w:after="0"/>
        <w:jc w:val="both"/>
        <w:rPr>
          <w:rFonts w:cs="Arial"/>
        </w:rPr>
      </w:pPr>
      <w:r>
        <w:t>The terms of all leases reflect the Council’s policy commitment to ensuring that all its community facilities are open to all and operate on a fully inclusive basis</w:t>
      </w:r>
    </w:p>
    <w:p w:rsidR="002329CF" w:rsidRPr="00F57E09" w:rsidRDefault="002329CF" w:rsidP="001C73BC">
      <w:pPr>
        <w:jc w:val="both"/>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F57E09"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F57E09" w:rsidRDefault="00E87F7A" w:rsidP="001C73BC">
            <w:pPr>
              <w:jc w:val="both"/>
              <w:rPr>
                <w:rFonts w:cs="Arial"/>
                <w:b/>
              </w:rPr>
            </w:pPr>
            <w:r w:rsidRPr="00F57E09">
              <w:rPr>
                <w:rFonts w:cs="Arial"/>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F57E09" w:rsidRDefault="009A5A8E" w:rsidP="001C73BC">
            <w:pPr>
              <w:jc w:val="both"/>
              <w:rPr>
                <w:rFonts w:cs="Arial"/>
              </w:rPr>
            </w:pPr>
            <w:r>
              <w:rPr>
                <w:rFonts w:cs="Arial"/>
              </w:rPr>
              <w:t>Ian Brooke</w:t>
            </w:r>
          </w:p>
        </w:tc>
      </w:tr>
      <w:tr w:rsidR="00DF093E" w:rsidRPr="00F57E09"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F57E09" w:rsidRDefault="00E87F7A" w:rsidP="001C73BC">
            <w:pPr>
              <w:jc w:val="both"/>
              <w:rPr>
                <w:rFonts w:cs="Arial"/>
              </w:rPr>
            </w:pPr>
            <w:r w:rsidRPr="00F57E09">
              <w:rPr>
                <w:rFonts w:cs="Arial"/>
              </w:rPr>
              <w:t>Job title</w:t>
            </w:r>
          </w:p>
        </w:tc>
        <w:tc>
          <w:tcPr>
            <w:tcW w:w="4962" w:type="dxa"/>
            <w:tcBorders>
              <w:top w:val="single" w:sz="8" w:space="0" w:color="000000"/>
              <w:left w:val="nil"/>
              <w:bottom w:val="nil"/>
              <w:right w:val="single" w:sz="8" w:space="0" w:color="000000"/>
            </w:tcBorders>
            <w:shd w:val="clear" w:color="auto" w:fill="auto"/>
          </w:tcPr>
          <w:p w:rsidR="00E87F7A" w:rsidRPr="00F57E09" w:rsidRDefault="009A5A8E" w:rsidP="001C73BC">
            <w:pPr>
              <w:jc w:val="both"/>
              <w:rPr>
                <w:rFonts w:cs="Arial"/>
              </w:rPr>
            </w:pPr>
            <w:r>
              <w:rPr>
                <w:rFonts w:cs="Arial"/>
              </w:rPr>
              <w:t>Head of Community Services</w:t>
            </w:r>
          </w:p>
        </w:tc>
      </w:tr>
      <w:tr w:rsidR="00DF093E" w:rsidRPr="00F57E09" w:rsidTr="00A46E98">
        <w:trPr>
          <w:cantSplit/>
          <w:trHeight w:val="396"/>
        </w:trPr>
        <w:tc>
          <w:tcPr>
            <w:tcW w:w="3969" w:type="dxa"/>
            <w:tcBorders>
              <w:top w:val="nil"/>
              <w:left w:val="single" w:sz="8" w:space="0" w:color="000000"/>
              <w:bottom w:val="nil"/>
              <w:right w:val="nil"/>
            </w:tcBorders>
            <w:shd w:val="clear" w:color="auto" w:fill="auto"/>
          </w:tcPr>
          <w:p w:rsidR="00E87F7A" w:rsidRPr="00F57E09" w:rsidRDefault="00E87F7A" w:rsidP="001C73BC">
            <w:pPr>
              <w:jc w:val="both"/>
              <w:rPr>
                <w:rFonts w:cs="Arial"/>
              </w:rPr>
            </w:pPr>
            <w:r w:rsidRPr="00F57E09">
              <w:rPr>
                <w:rFonts w:cs="Arial"/>
              </w:rPr>
              <w:t>Service area or department</w:t>
            </w:r>
          </w:p>
        </w:tc>
        <w:tc>
          <w:tcPr>
            <w:tcW w:w="4962" w:type="dxa"/>
            <w:tcBorders>
              <w:top w:val="nil"/>
              <w:left w:val="nil"/>
              <w:bottom w:val="nil"/>
              <w:right w:val="single" w:sz="8" w:space="0" w:color="000000"/>
            </w:tcBorders>
            <w:shd w:val="clear" w:color="auto" w:fill="auto"/>
          </w:tcPr>
          <w:p w:rsidR="00E87F7A" w:rsidRPr="00F57E09" w:rsidRDefault="002B416E" w:rsidP="001C73BC">
            <w:pPr>
              <w:jc w:val="both"/>
              <w:rPr>
                <w:rFonts w:cs="Arial"/>
              </w:rPr>
            </w:pPr>
            <w:r>
              <w:rPr>
                <w:rFonts w:cs="Arial"/>
              </w:rPr>
              <w:t xml:space="preserve">Community Services </w:t>
            </w:r>
          </w:p>
        </w:tc>
      </w:tr>
      <w:tr w:rsidR="00DF093E" w:rsidRPr="00F57E09" w:rsidTr="00A46E98">
        <w:trPr>
          <w:cantSplit/>
          <w:trHeight w:val="396"/>
        </w:trPr>
        <w:tc>
          <w:tcPr>
            <w:tcW w:w="3969" w:type="dxa"/>
            <w:tcBorders>
              <w:top w:val="nil"/>
              <w:left w:val="single" w:sz="8" w:space="0" w:color="000000"/>
              <w:bottom w:val="nil"/>
              <w:right w:val="nil"/>
            </w:tcBorders>
            <w:shd w:val="clear" w:color="auto" w:fill="auto"/>
          </w:tcPr>
          <w:p w:rsidR="00E87F7A" w:rsidRPr="00F57E09" w:rsidRDefault="00E87F7A" w:rsidP="001C73BC">
            <w:pPr>
              <w:jc w:val="both"/>
              <w:rPr>
                <w:rFonts w:cs="Arial"/>
              </w:rPr>
            </w:pPr>
            <w:r w:rsidRPr="00F57E09">
              <w:rPr>
                <w:rFonts w:cs="Arial"/>
              </w:rPr>
              <w:t xml:space="preserve">Telephone </w:t>
            </w:r>
          </w:p>
        </w:tc>
        <w:tc>
          <w:tcPr>
            <w:tcW w:w="4962" w:type="dxa"/>
            <w:tcBorders>
              <w:top w:val="nil"/>
              <w:left w:val="nil"/>
              <w:bottom w:val="nil"/>
              <w:right w:val="single" w:sz="8" w:space="0" w:color="000000"/>
            </w:tcBorders>
            <w:shd w:val="clear" w:color="auto" w:fill="auto"/>
          </w:tcPr>
          <w:p w:rsidR="00E87F7A" w:rsidRPr="00F57E09" w:rsidRDefault="002B416E" w:rsidP="001C73BC">
            <w:pPr>
              <w:jc w:val="both"/>
              <w:rPr>
                <w:rFonts w:cs="Arial"/>
              </w:rPr>
            </w:pPr>
            <w:r>
              <w:rPr>
                <w:rFonts w:cs="Arial"/>
              </w:rPr>
              <w:t>01865 2705</w:t>
            </w:r>
            <w:r w:rsidR="00E87F7A" w:rsidRPr="00F57E09">
              <w:rPr>
                <w:rFonts w:cs="Arial"/>
              </w:rPr>
              <w:t xml:space="preserve">  </w:t>
            </w:r>
          </w:p>
        </w:tc>
      </w:tr>
      <w:tr w:rsidR="005570B5" w:rsidRPr="00F57E09"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F57E09" w:rsidRDefault="00E87F7A" w:rsidP="001C73BC">
            <w:pPr>
              <w:jc w:val="both"/>
              <w:rPr>
                <w:rFonts w:cs="Arial"/>
              </w:rPr>
            </w:pPr>
            <w:r w:rsidRPr="00F57E09">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F57E09" w:rsidRDefault="002B416E" w:rsidP="001C73BC">
            <w:pPr>
              <w:jc w:val="both"/>
              <w:rPr>
                <w:rStyle w:val="Hyperlink"/>
                <w:rFonts w:cs="Arial"/>
                <w:color w:val="000000"/>
              </w:rPr>
            </w:pPr>
            <w:r>
              <w:rPr>
                <w:rStyle w:val="Hyperlink"/>
                <w:rFonts w:cs="Arial"/>
                <w:color w:val="000000"/>
              </w:rPr>
              <w:t>ibrooke@oxford.gov.uk</w:t>
            </w:r>
          </w:p>
        </w:tc>
      </w:tr>
    </w:tbl>
    <w:p w:rsidR="00433B96" w:rsidRPr="00F57E09" w:rsidRDefault="00433B96" w:rsidP="001C73BC">
      <w:pPr>
        <w:jc w:val="both"/>
        <w:rPr>
          <w:rFonts w:cs="Arial"/>
        </w:rPr>
      </w:pPr>
    </w:p>
    <w:p w:rsidR="00CE4C87" w:rsidRPr="00F57E09" w:rsidRDefault="00CE4C87" w:rsidP="001C73BC">
      <w:pPr>
        <w:jc w:val="both"/>
        <w:rPr>
          <w:rFonts w:cs="Arial"/>
        </w:rPr>
      </w:pPr>
    </w:p>
    <w:p w:rsidR="00742D35" w:rsidRPr="00F57E09" w:rsidRDefault="00742D35" w:rsidP="001C73BC">
      <w:pPr>
        <w:jc w:val="both"/>
        <w:rPr>
          <w:rFonts w:cs="Arial"/>
        </w:rPr>
      </w:pPr>
    </w:p>
    <w:sectPr w:rsidR="00742D35" w:rsidRPr="00F57E09" w:rsidSect="00F071E7">
      <w:footerReference w:type="even" r:id="rId9"/>
      <w:headerReference w:type="first" r:id="rId10"/>
      <w:footerReference w:type="first" r:id="rId11"/>
      <w:pgSz w:w="11906" w:h="16838" w:code="9"/>
      <w:pgMar w:top="1418" w:right="1304" w:bottom="113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541" w:rsidRDefault="005A6541" w:rsidP="004A6D2F">
      <w:r>
        <w:separator/>
      </w:r>
    </w:p>
  </w:endnote>
  <w:endnote w:type="continuationSeparator" w:id="0">
    <w:p w:rsidR="005A6541" w:rsidRDefault="005A654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541" w:rsidRDefault="005A6541" w:rsidP="004A6D2F">
      <w:r>
        <w:separator/>
      </w:r>
    </w:p>
  </w:footnote>
  <w:footnote w:type="continuationSeparator" w:id="0">
    <w:p w:rsidR="005A6541" w:rsidRDefault="005A654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7A0433" w:rsidP="00D5547E">
    <w:pPr>
      <w:pStyle w:val="Header"/>
      <w:jc w:val="right"/>
    </w:pPr>
    <w:r>
      <w:rPr>
        <w:noProof/>
      </w:rPr>
      <w:drawing>
        <wp:inline distT="0" distB="0" distL="0" distR="0" wp14:anchorId="1D193CD7" wp14:editId="6C3FD4BA">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2DB4939"/>
    <w:multiLevelType w:val="hybridMultilevel"/>
    <w:tmpl w:val="8B129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82816D6"/>
    <w:multiLevelType w:val="hybridMultilevel"/>
    <w:tmpl w:val="49745996"/>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15">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0915BD2"/>
    <w:multiLevelType w:val="hybridMultilevel"/>
    <w:tmpl w:val="8E608B42"/>
    <w:lvl w:ilvl="0" w:tplc="FB766F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8E2853"/>
    <w:multiLevelType w:val="hybridMultilevel"/>
    <w:tmpl w:val="610C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349253E"/>
    <w:multiLevelType w:val="hybridMultilevel"/>
    <w:tmpl w:val="E4844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0C321E"/>
    <w:multiLevelType w:val="hybridMultilevel"/>
    <w:tmpl w:val="6D98F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1B0452C"/>
    <w:multiLevelType w:val="hybridMultilevel"/>
    <w:tmpl w:val="C6925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A6F4149"/>
    <w:multiLevelType w:val="hybridMultilevel"/>
    <w:tmpl w:val="6D98F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CC3292D"/>
    <w:multiLevelType w:val="hybridMultilevel"/>
    <w:tmpl w:val="B75A8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1E878EE">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CEB2B45"/>
    <w:multiLevelType w:val="hybridMultilevel"/>
    <w:tmpl w:val="2738FF20"/>
    <w:lvl w:ilvl="0" w:tplc="B434E552">
      <w:start w:val="10"/>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E59001B"/>
    <w:multiLevelType w:val="hybridMultilevel"/>
    <w:tmpl w:val="6D98F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ABA5FD8"/>
    <w:multiLevelType w:val="multilevel"/>
    <w:tmpl w:val="43D6D2FA"/>
    <w:numStyleLink w:val="StyleBulletedSymbolsymbolLeft063cmHanging063cm"/>
  </w:abstractNum>
  <w:abstractNum w:abstractNumId="38">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2A22831"/>
    <w:multiLevelType w:val="multilevel"/>
    <w:tmpl w:val="43D6D2FA"/>
    <w:numStyleLink w:val="StyleBulletedSymbolsymbolLeft063cmHanging063cm"/>
  </w:abstractNum>
  <w:abstractNum w:abstractNumId="40">
    <w:nsid w:val="66550EDD"/>
    <w:multiLevelType w:val="hybridMultilevel"/>
    <w:tmpl w:val="5A4A2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9732C24"/>
    <w:multiLevelType w:val="hybridMultilevel"/>
    <w:tmpl w:val="1A8E33E4"/>
    <w:lvl w:ilvl="0" w:tplc="08090001">
      <w:start w:val="1"/>
      <w:numFmt w:val="bullet"/>
      <w:lvlText w:val=""/>
      <w:lvlJc w:val="left"/>
      <w:pPr>
        <w:ind w:left="1440" w:hanging="360"/>
      </w:pPr>
      <w:rPr>
        <w:rFonts w:ascii="Symbol" w:hAnsi="Symbol" w:hint="default"/>
      </w:rPr>
    </w:lvl>
    <w:lvl w:ilvl="1" w:tplc="A69AFFB2">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DC43449"/>
    <w:multiLevelType w:val="hybridMultilevel"/>
    <w:tmpl w:val="09681C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5">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45B1319"/>
    <w:multiLevelType w:val="hybridMultilevel"/>
    <w:tmpl w:val="DF9C128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98365C6"/>
    <w:multiLevelType w:val="multilevel"/>
    <w:tmpl w:val="E67CE66C"/>
    <w:numStyleLink w:val="StyleNumberedLeft0cmHanging075cm"/>
  </w:abstractNum>
  <w:num w:numId="1">
    <w:abstractNumId w:val="36"/>
  </w:num>
  <w:num w:numId="2">
    <w:abstractNumId w:val="43"/>
  </w:num>
  <w:num w:numId="3">
    <w:abstractNumId w:val="29"/>
  </w:num>
  <w:num w:numId="4">
    <w:abstractNumId w:val="20"/>
  </w:num>
  <w:num w:numId="5">
    <w:abstractNumId w:val="38"/>
  </w:num>
  <w:num w:numId="6">
    <w:abstractNumId w:val="45"/>
  </w:num>
  <w:num w:numId="7">
    <w:abstractNumId w:val="28"/>
  </w:num>
  <w:num w:numId="8">
    <w:abstractNumId w:val="25"/>
  </w:num>
  <w:num w:numId="9">
    <w:abstractNumId w:val="15"/>
  </w:num>
  <w:num w:numId="10">
    <w:abstractNumId w:val="17"/>
  </w:num>
  <w:num w:numId="11">
    <w:abstractNumId w:val="34"/>
  </w:num>
  <w:num w:numId="12">
    <w:abstractNumId w:val="30"/>
  </w:num>
  <w:num w:numId="13">
    <w:abstractNumId w:val="11"/>
  </w:num>
  <w:num w:numId="14">
    <w:abstractNumId w:val="47"/>
  </w:num>
  <w:num w:numId="15">
    <w:abstractNumId w:val="18"/>
  </w:num>
  <w:num w:numId="16">
    <w:abstractNumId w:val="12"/>
  </w:num>
  <w:num w:numId="17">
    <w:abstractNumId w:val="37"/>
  </w:num>
  <w:num w:numId="18">
    <w:abstractNumId w:val="13"/>
  </w:num>
  <w:num w:numId="19">
    <w:abstractNumId w:val="39"/>
  </w:num>
  <w:num w:numId="20">
    <w:abstractNumId w:val="19"/>
  </w:num>
  <w:num w:numId="21">
    <w:abstractNumId w:val="26"/>
  </w:num>
  <w:num w:numId="22">
    <w:abstractNumId w:val="16"/>
  </w:num>
  <w:num w:numId="23">
    <w:abstractNumId w:val="42"/>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5"/>
  </w:num>
  <w:num w:numId="35">
    <w:abstractNumId w:val="33"/>
  </w:num>
  <w:num w:numId="36">
    <w:abstractNumId w:val="24"/>
  </w:num>
  <w:num w:numId="37">
    <w:abstractNumId w:val="32"/>
  </w:num>
  <w:num w:numId="38">
    <w:abstractNumId w:val="10"/>
  </w:num>
  <w:num w:numId="39">
    <w:abstractNumId w:val="23"/>
  </w:num>
  <w:num w:numId="40">
    <w:abstractNumId w:val="27"/>
  </w:num>
  <w:num w:numId="41">
    <w:abstractNumId w:val="22"/>
  </w:num>
  <w:num w:numId="42">
    <w:abstractNumId w:val="41"/>
  </w:num>
  <w:num w:numId="43">
    <w:abstractNumId w:val="44"/>
  </w:num>
  <w:num w:numId="44">
    <w:abstractNumId w:val="31"/>
  </w:num>
  <w:num w:numId="45">
    <w:abstractNumId w:val="14"/>
  </w:num>
  <w:num w:numId="46">
    <w:abstractNumId w:val="40"/>
  </w:num>
  <w:num w:numId="47">
    <w:abstractNumId w:val="46"/>
  </w:num>
  <w:num w:numId="48">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29/04/2019 12:58"/>
  </w:docVars>
  <w:rsids>
    <w:rsidRoot w:val="007A0433"/>
    <w:rsid w:val="000117D4"/>
    <w:rsid w:val="00024B50"/>
    <w:rsid w:val="00027BFA"/>
    <w:rsid w:val="000314D7"/>
    <w:rsid w:val="00045F8B"/>
    <w:rsid w:val="00046D2B"/>
    <w:rsid w:val="00056263"/>
    <w:rsid w:val="00064C1D"/>
    <w:rsid w:val="00064D8A"/>
    <w:rsid w:val="00064F82"/>
    <w:rsid w:val="00066510"/>
    <w:rsid w:val="00074280"/>
    <w:rsid w:val="00077523"/>
    <w:rsid w:val="000C089F"/>
    <w:rsid w:val="000C3928"/>
    <w:rsid w:val="000C5E8E"/>
    <w:rsid w:val="000D71D2"/>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C73BC"/>
    <w:rsid w:val="001D454C"/>
    <w:rsid w:val="001D678D"/>
    <w:rsid w:val="001E03F8"/>
    <w:rsid w:val="001E1678"/>
    <w:rsid w:val="001E3376"/>
    <w:rsid w:val="001E50B2"/>
    <w:rsid w:val="002038BC"/>
    <w:rsid w:val="002069B3"/>
    <w:rsid w:val="002329CF"/>
    <w:rsid w:val="00232F5B"/>
    <w:rsid w:val="00247C29"/>
    <w:rsid w:val="00250D32"/>
    <w:rsid w:val="00260467"/>
    <w:rsid w:val="00263EA3"/>
    <w:rsid w:val="00270627"/>
    <w:rsid w:val="00282DA3"/>
    <w:rsid w:val="00284F85"/>
    <w:rsid w:val="00290915"/>
    <w:rsid w:val="002A05B2"/>
    <w:rsid w:val="002A22E2"/>
    <w:rsid w:val="002B416E"/>
    <w:rsid w:val="002C2C8D"/>
    <w:rsid w:val="002C64F7"/>
    <w:rsid w:val="002F41F2"/>
    <w:rsid w:val="00301BF3"/>
    <w:rsid w:val="0030208D"/>
    <w:rsid w:val="00323418"/>
    <w:rsid w:val="003357BF"/>
    <w:rsid w:val="00352309"/>
    <w:rsid w:val="0036302C"/>
    <w:rsid w:val="00364FAD"/>
    <w:rsid w:val="0036738F"/>
    <w:rsid w:val="0036759C"/>
    <w:rsid w:val="00367AE5"/>
    <w:rsid w:val="00367D71"/>
    <w:rsid w:val="0038150A"/>
    <w:rsid w:val="00396184"/>
    <w:rsid w:val="003B0A63"/>
    <w:rsid w:val="003B6E75"/>
    <w:rsid w:val="003B7DA1"/>
    <w:rsid w:val="003D0379"/>
    <w:rsid w:val="003D2574"/>
    <w:rsid w:val="003D4C59"/>
    <w:rsid w:val="003E01B2"/>
    <w:rsid w:val="003F4267"/>
    <w:rsid w:val="00403CDA"/>
    <w:rsid w:val="00404032"/>
    <w:rsid w:val="0040736F"/>
    <w:rsid w:val="00412C1F"/>
    <w:rsid w:val="00421CB2"/>
    <w:rsid w:val="004268B9"/>
    <w:rsid w:val="00430368"/>
    <w:rsid w:val="00433B96"/>
    <w:rsid w:val="004440F1"/>
    <w:rsid w:val="004456DD"/>
    <w:rsid w:val="00446CDF"/>
    <w:rsid w:val="004521B7"/>
    <w:rsid w:val="00462AB5"/>
    <w:rsid w:val="00465EAF"/>
    <w:rsid w:val="004738C5"/>
    <w:rsid w:val="00491046"/>
    <w:rsid w:val="004A2AC7"/>
    <w:rsid w:val="004A6D2F"/>
    <w:rsid w:val="004C2887"/>
    <w:rsid w:val="004D2626"/>
    <w:rsid w:val="004D6E26"/>
    <w:rsid w:val="004D77D3"/>
    <w:rsid w:val="004E2959"/>
    <w:rsid w:val="004F20EF"/>
    <w:rsid w:val="0050321C"/>
    <w:rsid w:val="005337FF"/>
    <w:rsid w:val="00537EE1"/>
    <w:rsid w:val="0054712D"/>
    <w:rsid w:val="00547EF6"/>
    <w:rsid w:val="005570B5"/>
    <w:rsid w:val="00567E18"/>
    <w:rsid w:val="00575F5F"/>
    <w:rsid w:val="00581805"/>
    <w:rsid w:val="00585F76"/>
    <w:rsid w:val="005A34E4"/>
    <w:rsid w:val="005A6541"/>
    <w:rsid w:val="005B17F2"/>
    <w:rsid w:val="005B7FB0"/>
    <w:rsid w:val="005C35A5"/>
    <w:rsid w:val="005C577C"/>
    <w:rsid w:val="005D0621"/>
    <w:rsid w:val="005D1E27"/>
    <w:rsid w:val="005D2A3E"/>
    <w:rsid w:val="005E022E"/>
    <w:rsid w:val="005E5215"/>
    <w:rsid w:val="005F6A30"/>
    <w:rsid w:val="005F7F7E"/>
    <w:rsid w:val="0060520B"/>
    <w:rsid w:val="00614693"/>
    <w:rsid w:val="00623C2F"/>
    <w:rsid w:val="00633578"/>
    <w:rsid w:val="00637068"/>
    <w:rsid w:val="00640829"/>
    <w:rsid w:val="00646E4B"/>
    <w:rsid w:val="00650811"/>
    <w:rsid w:val="00661D3E"/>
    <w:rsid w:val="00677D5E"/>
    <w:rsid w:val="00680A5B"/>
    <w:rsid w:val="00692627"/>
    <w:rsid w:val="006969E7"/>
    <w:rsid w:val="006A3643"/>
    <w:rsid w:val="006C2A29"/>
    <w:rsid w:val="006C64CF"/>
    <w:rsid w:val="006D17B1"/>
    <w:rsid w:val="006D4752"/>
    <w:rsid w:val="006D708A"/>
    <w:rsid w:val="006E0C13"/>
    <w:rsid w:val="006E14C1"/>
    <w:rsid w:val="006E5B3F"/>
    <w:rsid w:val="006F0292"/>
    <w:rsid w:val="006F27FA"/>
    <w:rsid w:val="006F416B"/>
    <w:rsid w:val="006F519B"/>
    <w:rsid w:val="00713675"/>
    <w:rsid w:val="00715823"/>
    <w:rsid w:val="00737B93"/>
    <w:rsid w:val="00742D35"/>
    <w:rsid w:val="00745BF0"/>
    <w:rsid w:val="007615FE"/>
    <w:rsid w:val="00761A28"/>
    <w:rsid w:val="0076655C"/>
    <w:rsid w:val="007742DC"/>
    <w:rsid w:val="00791437"/>
    <w:rsid w:val="007A0433"/>
    <w:rsid w:val="007A1ED6"/>
    <w:rsid w:val="007B0C2C"/>
    <w:rsid w:val="007B278E"/>
    <w:rsid w:val="007C5C23"/>
    <w:rsid w:val="007D3B0F"/>
    <w:rsid w:val="007E2A26"/>
    <w:rsid w:val="007F2348"/>
    <w:rsid w:val="0080315D"/>
    <w:rsid w:val="00803F07"/>
    <w:rsid w:val="0080749A"/>
    <w:rsid w:val="00821FB8"/>
    <w:rsid w:val="00822ACD"/>
    <w:rsid w:val="00855C66"/>
    <w:rsid w:val="00871EE4"/>
    <w:rsid w:val="008B293F"/>
    <w:rsid w:val="008B7371"/>
    <w:rsid w:val="008C1A67"/>
    <w:rsid w:val="008D3DDB"/>
    <w:rsid w:val="008F573F"/>
    <w:rsid w:val="00900DAE"/>
    <w:rsid w:val="009034EC"/>
    <w:rsid w:val="0093067A"/>
    <w:rsid w:val="00941C60"/>
    <w:rsid w:val="009430B8"/>
    <w:rsid w:val="00966D42"/>
    <w:rsid w:val="00971689"/>
    <w:rsid w:val="00973E90"/>
    <w:rsid w:val="00975B07"/>
    <w:rsid w:val="00980B4A"/>
    <w:rsid w:val="0099429C"/>
    <w:rsid w:val="009A5A8E"/>
    <w:rsid w:val="009B5F5A"/>
    <w:rsid w:val="009E3D0A"/>
    <w:rsid w:val="009E51FC"/>
    <w:rsid w:val="009F1D28"/>
    <w:rsid w:val="009F7618"/>
    <w:rsid w:val="00A04D23"/>
    <w:rsid w:val="00A06766"/>
    <w:rsid w:val="00A13765"/>
    <w:rsid w:val="00A21B12"/>
    <w:rsid w:val="00A23F80"/>
    <w:rsid w:val="00A46E23"/>
    <w:rsid w:val="00A46E98"/>
    <w:rsid w:val="00A6352B"/>
    <w:rsid w:val="00A701B5"/>
    <w:rsid w:val="00A714BB"/>
    <w:rsid w:val="00A92D8F"/>
    <w:rsid w:val="00AB2988"/>
    <w:rsid w:val="00AB7999"/>
    <w:rsid w:val="00AD3292"/>
    <w:rsid w:val="00AE7AF0"/>
    <w:rsid w:val="00B500CA"/>
    <w:rsid w:val="00B86314"/>
    <w:rsid w:val="00BA1C2E"/>
    <w:rsid w:val="00BC200B"/>
    <w:rsid w:val="00BC4756"/>
    <w:rsid w:val="00BC69A4"/>
    <w:rsid w:val="00BD0796"/>
    <w:rsid w:val="00BE0680"/>
    <w:rsid w:val="00BE305F"/>
    <w:rsid w:val="00BE7BA3"/>
    <w:rsid w:val="00BF5682"/>
    <w:rsid w:val="00BF7B09"/>
    <w:rsid w:val="00C20A95"/>
    <w:rsid w:val="00C2692F"/>
    <w:rsid w:val="00C3207C"/>
    <w:rsid w:val="00C400E1"/>
    <w:rsid w:val="00C40590"/>
    <w:rsid w:val="00C41187"/>
    <w:rsid w:val="00C63C31"/>
    <w:rsid w:val="00C757A0"/>
    <w:rsid w:val="00C760DE"/>
    <w:rsid w:val="00C80914"/>
    <w:rsid w:val="00C82630"/>
    <w:rsid w:val="00C85B4E"/>
    <w:rsid w:val="00C907F7"/>
    <w:rsid w:val="00CA2103"/>
    <w:rsid w:val="00CA6023"/>
    <w:rsid w:val="00CB6B99"/>
    <w:rsid w:val="00CE33FB"/>
    <w:rsid w:val="00CE4C87"/>
    <w:rsid w:val="00CE544A"/>
    <w:rsid w:val="00CF7959"/>
    <w:rsid w:val="00D11E1C"/>
    <w:rsid w:val="00D13613"/>
    <w:rsid w:val="00D160B0"/>
    <w:rsid w:val="00D17F94"/>
    <w:rsid w:val="00D223FC"/>
    <w:rsid w:val="00D26D1E"/>
    <w:rsid w:val="00D474CF"/>
    <w:rsid w:val="00D5547E"/>
    <w:rsid w:val="00D869A1"/>
    <w:rsid w:val="00DA413F"/>
    <w:rsid w:val="00DA4584"/>
    <w:rsid w:val="00DA614B"/>
    <w:rsid w:val="00DC3060"/>
    <w:rsid w:val="00DE0FB2"/>
    <w:rsid w:val="00DE12B8"/>
    <w:rsid w:val="00DF093E"/>
    <w:rsid w:val="00E01F42"/>
    <w:rsid w:val="00E206D6"/>
    <w:rsid w:val="00E3366E"/>
    <w:rsid w:val="00E34F5F"/>
    <w:rsid w:val="00E35779"/>
    <w:rsid w:val="00E43C43"/>
    <w:rsid w:val="00E52086"/>
    <w:rsid w:val="00E543A6"/>
    <w:rsid w:val="00E60479"/>
    <w:rsid w:val="00E61D73"/>
    <w:rsid w:val="00E70F01"/>
    <w:rsid w:val="00E73684"/>
    <w:rsid w:val="00E818D6"/>
    <w:rsid w:val="00E84E06"/>
    <w:rsid w:val="00E87F7A"/>
    <w:rsid w:val="00E96BD7"/>
    <w:rsid w:val="00EA0DB1"/>
    <w:rsid w:val="00EA0EE9"/>
    <w:rsid w:val="00ED52CA"/>
    <w:rsid w:val="00ED5860"/>
    <w:rsid w:val="00EE35C9"/>
    <w:rsid w:val="00F05ECA"/>
    <w:rsid w:val="00F071E7"/>
    <w:rsid w:val="00F3566E"/>
    <w:rsid w:val="00F375FB"/>
    <w:rsid w:val="00F41AC1"/>
    <w:rsid w:val="00F4367A"/>
    <w:rsid w:val="00F445B1"/>
    <w:rsid w:val="00F45CD4"/>
    <w:rsid w:val="00F57E09"/>
    <w:rsid w:val="00F66DCA"/>
    <w:rsid w:val="00F74F53"/>
    <w:rsid w:val="00F7606D"/>
    <w:rsid w:val="00F81670"/>
    <w:rsid w:val="00F82024"/>
    <w:rsid w:val="00F95BC9"/>
    <w:rsid w:val="00FA624C"/>
    <w:rsid w:val="00FB2EEB"/>
    <w:rsid w:val="00FD0FAC"/>
    <w:rsid w:val="00FD1DFA"/>
    <w:rsid w:val="00FD4966"/>
    <w:rsid w:val="00FE57DC"/>
    <w:rsid w:val="00FE6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CharChar1CharCharCharCharCharCharChar">
    <w:name w:val="Char Char1 Char Char Char Char Char Char Char"/>
    <w:basedOn w:val="Normal"/>
    <w:rsid w:val="00F57E09"/>
    <w:pPr>
      <w:spacing w:after="160" w:line="240" w:lineRule="exact"/>
    </w:pPr>
    <w:rPr>
      <w:rFonts w:ascii="Verdana" w:hAnsi="Verdana"/>
      <w:color w:val="auto"/>
      <w:lang w:val="en-US" w:eastAsia="en-US"/>
    </w:rPr>
  </w:style>
  <w:style w:type="paragraph" w:customStyle="1" w:styleId="Default">
    <w:name w:val="Default"/>
    <w:rsid w:val="00F57E09"/>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F57E09"/>
    <w:pPr>
      <w:spacing w:after="0"/>
    </w:pPr>
    <w:rPr>
      <w:rFonts w:eastAsia="Calibri"/>
      <w:color w:val="auto"/>
      <w:szCs w:val="21"/>
      <w:lang w:eastAsia="en-US"/>
    </w:rPr>
  </w:style>
  <w:style w:type="character" w:customStyle="1" w:styleId="PlainTextChar">
    <w:name w:val="Plain Text Char"/>
    <w:basedOn w:val="DefaultParagraphFont"/>
    <w:link w:val="PlainText"/>
    <w:uiPriority w:val="99"/>
    <w:rsid w:val="00F57E09"/>
    <w:rPr>
      <w:rFonts w:eastAsia="Calibri"/>
      <w:sz w:val="24"/>
      <w:szCs w:val="21"/>
      <w:lang w:eastAsia="en-US"/>
    </w:rPr>
  </w:style>
  <w:style w:type="character" w:customStyle="1" w:styleId="CommentTextChar">
    <w:name w:val="Comment Text Char"/>
    <w:link w:val="CommentText"/>
    <w:semiHidden/>
    <w:rsid w:val="00F57E0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CharChar1CharCharCharCharCharCharChar">
    <w:name w:val="Char Char1 Char Char Char Char Char Char Char"/>
    <w:basedOn w:val="Normal"/>
    <w:rsid w:val="00F57E09"/>
    <w:pPr>
      <w:spacing w:after="160" w:line="240" w:lineRule="exact"/>
    </w:pPr>
    <w:rPr>
      <w:rFonts w:ascii="Verdana" w:hAnsi="Verdana"/>
      <w:color w:val="auto"/>
      <w:lang w:val="en-US" w:eastAsia="en-US"/>
    </w:rPr>
  </w:style>
  <w:style w:type="paragraph" w:customStyle="1" w:styleId="Default">
    <w:name w:val="Default"/>
    <w:rsid w:val="00F57E09"/>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F57E09"/>
    <w:pPr>
      <w:spacing w:after="0"/>
    </w:pPr>
    <w:rPr>
      <w:rFonts w:eastAsia="Calibri"/>
      <w:color w:val="auto"/>
      <w:szCs w:val="21"/>
      <w:lang w:eastAsia="en-US"/>
    </w:rPr>
  </w:style>
  <w:style w:type="character" w:customStyle="1" w:styleId="PlainTextChar">
    <w:name w:val="Plain Text Char"/>
    <w:basedOn w:val="DefaultParagraphFont"/>
    <w:link w:val="PlainText"/>
    <w:uiPriority w:val="99"/>
    <w:rsid w:val="00F57E09"/>
    <w:rPr>
      <w:rFonts w:eastAsia="Calibri"/>
      <w:sz w:val="24"/>
      <w:szCs w:val="21"/>
      <w:lang w:eastAsia="en-US"/>
    </w:rPr>
  </w:style>
  <w:style w:type="character" w:customStyle="1" w:styleId="CommentTextChar">
    <w:name w:val="Comment Text Char"/>
    <w:link w:val="CommentText"/>
    <w:semiHidden/>
    <w:rsid w:val="00F57E0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9245598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822BA-CBA4-4AF8-BB51-AB37EC7B4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Template>
  <TotalTime>30</TotalTime>
  <Pages>4</Pages>
  <Words>901</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IBrooke</dc:creator>
  <cp:lastModifiedBy>JMitchell</cp:lastModifiedBy>
  <cp:revision>11</cp:revision>
  <cp:lastPrinted>2015-07-03T13:50:00Z</cp:lastPrinted>
  <dcterms:created xsi:type="dcterms:W3CDTF">2019-04-29T12:00:00Z</dcterms:created>
  <dcterms:modified xsi:type="dcterms:W3CDTF">2019-05-20T11:48:00Z</dcterms:modified>
</cp:coreProperties>
</file>